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D1" w:rsidRDefault="00A053D1">
      <w:pPr>
        <w:rPr>
          <w:rFonts w:ascii="Arial" w:hAnsi="Arial" w:cs="Arial"/>
          <w:b/>
          <w:sz w:val="20"/>
          <w:szCs w:val="20"/>
          <w:lang w:val="en-GB"/>
        </w:rPr>
      </w:pPr>
    </w:p>
    <w:p w:rsidR="00267AB6" w:rsidRPr="00407A95" w:rsidRDefault="00267AB6" w:rsidP="00267AB6">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PROCESSING AGREEMENT</w:t>
      </w:r>
    </w:p>
    <w:p w:rsidR="00267AB6" w:rsidRPr="00267AB6" w:rsidRDefault="00267AB6">
      <w:pPr>
        <w:rPr>
          <w:rFonts w:ascii="Arial" w:hAnsi="Arial" w:cs="Arial"/>
          <w:sz w:val="20"/>
          <w:szCs w:val="20"/>
          <w:lang w:val="en-GB"/>
        </w:rPr>
      </w:pPr>
    </w:p>
    <w:p w:rsidR="00A053D1" w:rsidRPr="00267AB6" w:rsidRDefault="007B0A2E">
      <w:pPr>
        <w:rPr>
          <w:rFonts w:ascii="Arial" w:hAnsi="Arial" w:cs="Arial"/>
          <w:sz w:val="20"/>
          <w:szCs w:val="20"/>
          <w:lang w:val="en-GB"/>
        </w:rPr>
      </w:pPr>
      <w:r w:rsidRPr="00267AB6">
        <w:rPr>
          <w:rFonts w:ascii="Arial" w:hAnsi="Arial" w:cs="Arial"/>
          <w:sz w:val="20"/>
          <w:szCs w:val="20"/>
          <w:lang w:val="en-GB"/>
        </w:rPr>
        <w:t xml:space="preserve">for the </w:t>
      </w:r>
      <w:r w:rsidRPr="00267AB6">
        <w:rPr>
          <w:rFonts w:ascii="Arial" w:hAnsi="Arial" w:cs="Arial"/>
          <w:sz w:val="20"/>
          <w:szCs w:val="20"/>
        </w:rPr>
        <w:t>[</w:t>
      </w:r>
      <w:r w:rsidRPr="00267AB6">
        <w:rPr>
          <w:rFonts w:ascii="Arial" w:hAnsi="Arial" w:cs="Arial"/>
          <w:sz w:val="20"/>
          <w:szCs w:val="20"/>
          <w:highlight w:val="yellow"/>
        </w:rPr>
        <w:t>name of the project</w:t>
      </w:r>
      <w:r w:rsidRPr="00267AB6">
        <w:rPr>
          <w:rFonts w:ascii="Arial" w:hAnsi="Arial" w:cs="Arial"/>
          <w:sz w:val="20"/>
          <w:szCs w:val="20"/>
        </w:rPr>
        <w:t>]</w:t>
      </w:r>
      <w:r w:rsidRPr="00267AB6">
        <w:rPr>
          <w:rFonts w:ascii="Arial" w:hAnsi="Arial" w:cs="Arial"/>
          <w:sz w:val="20"/>
          <w:szCs w:val="20"/>
          <w:lang w:val="en-GB"/>
        </w:rPr>
        <w:t xml:space="preserve"> project</w:t>
      </w:r>
    </w:p>
    <w:p w:rsidR="00A053D1" w:rsidRDefault="00A053D1">
      <w:pPr>
        <w:rPr>
          <w:rFonts w:ascii="Arial" w:hAnsi="Arial" w:cs="Arial"/>
          <w:b/>
          <w:sz w:val="20"/>
          <w:szCs w:val="20"/>
          <w:lang w:val="en-GB"/>
        </w:rPr>
      </w:pPr>
    </w:p>
    <w:p w:rsidR="00A053D1" w:rsidRDefault="007B0A2E">
      <w:pPr>
        <w:rPr>
          <w:rFonts w:ascii="Arial" w:hAnsi="Arial" w:cs="Arial"/>
          <w:b/>
          <w:sz w:val="20"/>
          <w:szCs w:val="20"/>
        </w:rPr>
      </w:pPr>
      <w:proofErr w:type="gramStart"/>
      <w:r>
        <w:rPr>
          <w:rFonts w:ascii="Arial" w:hAnsi="Arial" w:cs="Arial"/>
          <w:bCs/>
          <w:sz w:val="20"/>
          <w:szCs w:val="20"/>
          <w:lang w:val="en-GB"/>
        </w:rPr>
        <w:t>Dated</w:t>
      </w:r>
      <w:r>
        <w:rPr>
          <w:rFonts w:ascii="Arial" w:hAnsi="Arial" w:cs="Arial"/>
          <w:b/>
          <w:sz w:val="20"/>
          <w:szCs w:val="20"/>
          <w:lang w:val="en-GB"/>
        </w:rPr>
        <w:t xml:space="preserve"> </w:t>
      </w:r>
      <w:r>
        <w:rPr>
          <w:rFonts w:ascii="Arial" w:hAnsi="Arial" w:cs="Arial"/>
          <w:bCs/>
          <w:sz w:val="20"/>
          <w:szCs w:val="20"/>
          <w:lang w:val="en-GB"/>
        </w:rPr>
        <w:t>:</w:t>
      </w:r>
      <w:proofErr w:type="gramEnd"/>
      <w:r>
        <w:rPr>
          <w:rFonts w:ascii="Arial" w:hAnsi="Arial" w:cs="Arial"/>
          <w:bCs/>
          <w:sz w:val="20"/>
          <w:szCs w:val="20"/>
          <w:lang w:val="en-GB"/>
        </w:rPr>
        <w:t xml:space="preserve"> [</w:t>
      </w:r>
      <w:r>
        <w:rPr>
          <w:rFonts w:ascii="Arial" w:hAnsi="Arial" w:cs="Arial"/>
          <w:bCs/>
          <w:sz w:val="20"/>
          <w:szCs w:val="20"/>
          <w:highlight w:val="yellow"/>
          <w:lang w:val="en-GB"/>
        </w:rPr>
        <w:t>Date</w:t>
      </w:r>
      <w:r>
        <w:rPr>
          <w:rFonts w:ascii="Arial" w:hAnsi="Arial" w:cs="Arial"/>
          <w:bCs/>
          <w:sz w:val="20"/>
          <w:szCs w:val="20"/>
          <w:lang w:val="en-GB"/>
        </w:rPr>
        <w:t>]</w:t>
      </w: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7B0A2E">
      <w:pPr>
        <w:spacing w:line="276" w:lineRule="auto"/>
        <w:rPr>
          <w:rFonts w:ascii="Arial" w:hAnsi="Arial" w:cs="Arial"/>
          <w:sz w:val="20"/>
          <w:szCs w:val="20"/>
        </w:rPr>
      </w:pPr>
      <w:r>
        <w:rPr>
          <w:rFonts w:ascii="Arial" w:hAnsi="Arial" w:cs="Arial"/>
          <w:sz w:val="20"/>
          <w:szCs w:val="20"/>
        </w:rPr>
        <w:t>between</w:t>
      </w: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b/>
          <w:sz w:val="20"/>
          <w:szCs w:val="20"/>
          <w:lang w:eastAsia="fr-FR"/>
        </w:rPr>
      </w:pPr>
    </w:p>
    <w:p w:rsidR="00A053D1" w:rsidRDefault="007B0A2E">
      <w:pPr>
        <w:spacing w:line="276" w:lineRule="auto"/>
        <w:rPr>
          <w:rFonts w:ascii="Arial" w:hAnsi="Arial" w:cs="Arial"/>
          <w:sz w:val="20"/>
          <w:szCs w:val="20"/>
          <w:lang w:eastAsia="fr-FR"/>
        </w:rPr>
      </w:pPr>
      <w:r>
        <w:rPr>
          <w:rFonts w:ascii="Arial" w:hAnsi="Arial" w:cs="Arial"/>
          <w:b/>
          <w:sz w:val="20"/>
          <w:szCs w:val="20"/>
          <w:lang w:eastAsia="fr-FR"/>
        </w:rPr>
        <w:t>[</w:t>
      </w:r>
      <w:r>
        <w:rPr>
          <w:rFonts w:ascii="Arial" w:hAnsi="Arial" w:cs="Arial"/>
          <w:b/>
          <w:sz w:val="20"/>
          <w:szCs w:val="20"/>
          <w:highlight w:val="yellow"/>
          <w:lang w:eastAsia="fr-FR"/>
        </w:rPr>
        <w:t>name</w:t>
      </w:r>
      <w:r>
        <w:rPr>
          <w:rFonts w:ascii="Arial" w:hAnsi="Arial" w:cs="Arial"/>
          <w:b/>
          <w:sz w:val="20"/>
          <w:szCs w:val="20"/>
          <w:lang w:eastAsia="fr-FR"/>
        </w:rPr>
        <w:t>]</w:t>
      </w:r>
      <w:r>
        <w:rPr>
          <w:rFonts w:ascii="Arial" w:hAnsi="Arial" w:cs="Arial"/>
          <w:sz w:val="20"/>
          <w:szCs w:val="20"/>
          <w:lang w:eastAsia="fr-FR"/>
        </w:rPr>
        <w:t>, [</w:t>
      </w:r>
      <w:r>
        <w:rPr>
          <w:rFonts w:ascii="Arial" w:hAnsi="Arial" w:cs="Arial"/>
          <w:sz w:val="20"/>
          <w:szCs w:val="20"/>
          <w:highlight w:val="yellow"/>
          <w:lang w:eastAsia="fr-FR"/>
        </w:rPr>
        <w:t>address</w:t>
      </w:r>
      <w:r>
        <w:rPr>
          <w:rFonts w:ascii="Arial" w:hAnsi="Arial" w:cs="Arial"/>
          <w:sz w:val="20"/>
          <w:szCs w:val="20"/>
          <w:lang w:eastAsia="fr-FR"/>
        </w:rPr>
        <w:t>]</w:t>
      </w:r>
    </w:p>
    <w:p w:rsidR="00A053D1" w:rsidRDefault="00A053D1">
      <w:pPr>
        <w:spacing w:line="276" w:lineRule="auto"/>
        <w:rPr>
          <w:rFonts w:ascii="Arial" w:hAnsi="Arial" w:cs="Arial"/>
          <w:sz w:val="20"/>
          <w:szCs w:val="20"/>
        </w:rPr>
      </w:pPr>
    </w:p>
    <w:p w:rsidR="00A053D1" w:rsidRDefault="007B0A2E">
      <w:pPr>
        <w:spacing w:line="276" w:lineRule="auto"/>
        <w:jc w:val="right"/>
        <w:rPr>
          <w:rFonts w:ascii="Arial" w:hAnsi="Arial" w:cs="Arial"/>
          <w:sz w:val="20"/>
          <w:szCs w:val="20"/>
        </w:rPr>
      </w:pPr>
      <w:r>
        <w:rPr>
          <w:rFonts w:ascii="Arial" w:hAnsi="Arial" w:cs="Arial"/>
          <w:sz w:val="20"/>
          <w:szCs w:val="20"/>
        </w:rPr>
        <w:t>(</w:t>
      </w:r>
      <w:r>
        <w:rPr>
          <w:rFonts w:ascii="Arial" w:hAnsi="Arial" w:cs="Arial"/>
          <w:b/>
          <w:sz w:val="20"/>
          <w:szCs w:val="20"/>
        </w:rPr>
        <w:t>Provider</w:t>
      </w:r>
      <w:r>
        <w:rPr>
          <w:rFonts w:ascii="Arial" w:hAnsi="Arial" w:cs="Arial"/>
          <w:sz w:val="20"/>
          <w:szCs w:val="20"/>
        </w:rPr>
        <w:t>)</w:t>
      </w: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7B0A2E">
      <w:pPr>
        <w:spacing w:line="276" w:lineRule="auto"/>
        <w:rPr>
          <w:rFonts w:ascii="Arial" w:hAnsi="Arial" w:cs="Arial"/>
          <w:sz w:val="20"/>
          <w:szCs w:val="20"/>
        </w:rPr>
      </w:pPr>
      <w:r>
        <w:rPr>
          <w:rFonts w:ascii="Arial" w:hAnsi="Arial" w:cs="Arial"/>
          <w:sz w:val="20"/>
          <w:szCs w:val="20"/>
        </w:rPr>
        <w:t>and</w:t>
      </w: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b/>
          <w:sz w:val="20"/>
          <w:szCs w:val="20"/>
        </w:rPr>
      </w:pPr>
    </w:p>
    <w:p w:rsidR="00A053D1" w:rsidRDefault="007B0A2E">
      <w:pPr>
        <w:spacing w:line="276" w:lineRule="auto"/>
        <w:rPr>
          <w:rFonts w:ascii="Arial" w:hAnsi="Arial" w:cs="Arial"/>
          <w:sz w:val="20"/>
          <w:szCs w:val="20"/>
        </w:rPr>
      </w:pPr>
      <w:r>
        <w:rPr>
          <w:rFonts w:ascii="Arial" w:hAnsi="Arial" w:cs="Arial"/>
          <w:b/>
          <w:sz w:val="20"/>
          <w:szCs w:val="20"/>
        </w:rPr>
        <w:t>SIB Swiss Institute of Bioinformatics</w:t>
      </w:r>
      <w:r>
        <w:rPr>
          <w:rFonts w:ascii="Arial" w:hAnsi="Arial" w:cs="Arial"/>
          <w:sz w:val="20"/>
          <w:szCs w:val="20"/>
        </w:rPr>
        <w:t xml:space="preserve"> (Core-IT), the </w:t>
      </w:r>
      <w:proofErr w:type="spellStart"/>
      <w:r>
        <w:rPr>
          <w:rFonts w:ascii="Arial" w:hAnsi="Arial" w:cs="Arial"/>
          <w:sz w:val="20"/>
          <w:szCs w:val="20"/>
        </w:rPr>
        <w:t>Romandie</w:t>
      </w:r>
      <w:proofErr w:type="spellEnd"/>
      <w:r>
        <w:rPr>
          <w:rFonts w:ascii="Arial" w:hAnsi="Arial" w:cs="Arial"/>
          <w:sz w:val="20"/>
          <w:szCs w:val="20"/>
        </w:rPr>
        <w:t xml:space="preserve"> BioMedIT</w:t>
      </w:r>
      <w:r>
        <w:rPr>
          <w:rFonts w:ascii="Arial" w:hAnsi="Arial" w:cs="Arial"/>
          <w:sz w:val="20"/>
          <w:szCs w:val="20"/>
        </w:rPr>
        <w:t xml:space="preserve"> Node, with a business address at Quartier Sorge - Bâtiment Amphipôle, 1015 Lausanne, Switzerland</w:t>
      </w:r>
    </w:p>
    <w:p w:rsidR="00A053D1" w:rsidRDefault="007B0A2E">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or</w:t>
      </w:r>
      <w:r>
        <w:rPr>
          <w:rFonts w:ascii="Arial" w:hAnsi="Arial" w:cs="Arial"/>
          <w:sz w:val="20"/>
          <w:szCs w:val="20"/>
          <w:lang w:eastAsia="fr-FR"/>
        </w:rPr>
        <w:t>]</w:t>
      </w:r>
    </w:p>
    <w:p w:rsidR="00A053D1" w:rsidRDefault="007B0A2E">
      <w:pPr>
        <w:spacing w:line="276" w:lineRule="auto"/>
        <w:rPr>
          <w:rFonts w:ascii="Arial" w:hAnsi="Arial" w:cs="Arial"/>
          <w:sz w:val="20"/>
          <w:szCs w:val="20"/>
        </w:rPr>
      </w:pPr>
      <w:r>
        <w:rPr>
          <w:rFonts w:ascii="Arial" w:hAnsi="Arial" w:cs="Arial"/>
          <w:b/>
          <w:sz w:val="20"/>
          <w:szCs w:val="20"/>
        </w:rPr>
        <w:t>University of Basel</w:t>
      </w:r>
      <w:r>
        <w:rPr>
          <w:rFonts w:ascii="Arial" w:hAnsi="Arial" w:cs="Arial"/>
          <w:sz w:val="20"/>
          <w:szCs w:val="20"/>
        </w:rPr>
        <w:t xml:space="preserve"> (</w:t>
      </w:r>
      <w:proofErr w:type="spellStart"/>
      <w:r>
        <w:rPr>
          <w:rFonts w:ascii="Arial" w:hAnsi="Arial" w:cs="Arial"/>
          <w:sz w:val="20"/>
          <w:szCs w:val="20"/>
        </w:rPr>
        <w:t>sciCORE</w:t>
      </w:r>
      <w:proofErr w:type="spellEnd"/>
      <w:r>
        <w:rPr>
          <w:rFonts w:ascii="Arial" w:hAnsi="Arial" w:cs="Arial"/>
          <w:sz w:val="20"/>
          <w:szCs w:val="20"/>
        </w:rPr>
        <w:t xml:space="preserve">), the Basel BioMedIT Node, </w:t>
      </w:r>
      <w:proofErr w:type="spellStart"/>
      <w:r>
        <w:rPr>
          <w:rFonts w:ascii="Arial" w:hAnsi="Arial" w:cs="Arial"/>
          <w:sz w:val="20"/>
          <w:szCs w:val="20"/>
        </w:rPr>
        <w:t>Petersplatz</w:t>
      </w:r>
      <w:proofErr w:type="spellEnd"/>
      <w:r>
        <w:rPr>
          <w:rFonts w:ascii="Arial" w:hAnsi="Arial" w:cs="Arial"/>
          <w:sz w:val="20"/>
          <w:szCs w:val="20"/>
        </w:rPr>
        <w:t xml:space="preserve"> 1, </w:t>
      </w:r>
      <w:proofErr w:type="spellStart"/>
      <w:r>
        <w:rPr>
          <w:rFonts w:ascii="Arial" w:hAnsi="Arial" w:cs="Arial"/>
          <w:sz w:val="20"/>
          <w:szCs w:val="20"/>
        </w:rPr>
        <w:t>Postfach</w:t>
      </w:r>
      <w:proofErr w:type="spellEnd"/>
      <w:r>
        <w:rPr>
          <w:rFonts w:ascii="Arial" w:hAnsi="Arial" w:cs="Arial"/>
          <w:sz w:val="20"/>
          <w:szCs w:val="20"/>
        </w:rPr>
        <w:t>, 4001 Basel, Switzerland.</w:t>
      </w:r>
    </w:p>
    <w:p w:rsidR="00A053D1" w:rsidRDefault="007B0A2E">
      <w:pPr>
        <w:spacing w:line="276" w:lineRule="auto"/>
        <w:rPr>
          <w:rFonts w:ascii="Arial" w:hAnsi="Arial" w:cs="Arial"/>
          <w:sz w:val="20"/>
          <w:szCs w:val="20"/>
        </w:rPr>
      </w:pPr>
      <w:r>
        <w:rPr>
          <w:rFonts w:ascii="Arial" w:hAnsi="Arial" w:cs="Arial"/>
          <w:sz w:val="20"/>
          <w:szCs w:val="20"/>
          <w:lang w:eastAsia="fr-FR"/>
        </w:rPr>
        <w:t>[</w:t>
      </w:r>
      <w:r>
        <w:rPr>
          <w:rFonts w:ascii="Arial" w:hAnsi="Arial" w:cs="Arial"/>
          <w:sz w:val="20"/>
          <w:szCs w:val="20"/>
          <w:highlight w:val="yellow"/>
          <w:lang w:eastAsia="fr-FR"/>
        </w:rPr>
        <w:t>or</w:t>
      </w:r>
      <w:r>
        <w:rPr>
          <w:rFonts w:ascii="Arial" w:hAnsi="Arial" w:cs="Arial"/>
          <w:sz w:val="20"/>
          <w:szCs w:val="20"/>
          <w:lang w:eastAsia="fr-FR"/>
        </w:rPr>
        <w:t>]</w:t>
      </w:r>
    </w:p>
    <w:p w:rsidR="00A053D1" w:rsidRDefault="007B0A2E">
      <w:pPr>
        <w:spacing w:line="276" w:lineRule="auto"/>
        <w:rPr>
          <w:rFonts w:ascii="Arial" w:hAnsi="Arial" w:cs="Arial"/>
          <w:sz w:val="20"/>
          <w:szCs w:val="20"/>
          <w:lang w:eastAsia="fr-FR"/>
        </w:rPr>
      </w:pPr>
      <w:r>
        <w:rPr>
          <w:rFonts w:ascii="Arial" w:hAnsi="Arial" w:cs="Arial"/>
          <w:b/>
          <w:sz w:val="20"/>
          <w:szCs w:val="20"/>
          <w:lang w:eastAsia="fr-FR"/>
        </w:rPr>
        <w:t>ETH Zürich</w:t>
      </w:r>
      <w:r>
        <w:rPr>
          <w:rFonts w:ascii="Arial" w:hAnsi="Arial" w:cs="Arial"/>
          <w:sz w:val="20"/>
          <w:szCs w:val="20"/>
          <w:lang w:eastAsia="fr-FR"/>
        </w:rPr>
        <w:t>, with SIS ETHZ (Leonhard Med) b</w:t>
      </w:r>
      <w:r>
        <w:rPr>
          <w:rFonts w:ascii="Arial" w:hAnsi="Arial" w:cs="Arial"/>
          <w:sz w:val="20"/>
          <w:szCs w:val="20"/>
          <w:lang w:eastAsia="fr-FR"/>
        </w:rPr>
        <w:t xml:space="preserve">eing the Zurich BioMedIT Node, </w:t>
      </w:r>
      <w:proofErr w:type="spellStart"/>
      <w:r>
        <w:rPr>
          <w:rFonts w:ascii="Arial" w:hAnsi="Arial" w:cs="Arial"/>
          <w:sz w:val="20"/>
          <w:szCs w:val="20"/>
          <w:lang w:eastAsia="fr-FR"/>
        </w:rPr>
        <w:t>Rämistrasse</w:t>
      </w:r>
      <w:proofErr w:type="spellEnd"/>
      <w:r>
        <w:rPr>
          <w:rFonts w:ascii="Arial" w:hAnsi="Arial" w:cs="Arial"/>
          <w:sz w:val="20"/>
          <w:szCs w:val="20"/>
          <w:lang w:eastAsia="fr-FR"/>
        </w:rPr>
        <w:t xml:space="preserve"> 101, 8092 Zürich, Switzerland</w:t>
      </w:r>
    </w:p>
    <w:p w:rsidR="00A053D1" w:rsidRDefault="00A053D1">
      <w:pPr>
        <w:spacing w:line="276" w:lineRule="auto"/>
        <w:rPr>
          <w:rFonts w:ascii="Arial" w:hAnsi="Arial" w:cs="Arial"/>
          <w:sz w:val="20"/>
          <w:szCs w:val="20"/>
          <w:lang w:eastAsia="fr-FR"/>
        </w:rPr>
      </w:pPr>
    </w:p>
    <w:p w:rsidR="00A053D1" w:rsidRDefault="00A053D1">
      <w:pPr>
        <w:spacing w:line="276" w:lineRule="auto"/>
        <w:jc w:val="both"/>
        <w:rPr>
          <w:rFonts w:ascii="Arial" w:hAnsi="Arial" w:cs="Arial"/>
          <w:sz w:val="20"/>
          <w:szCs w:val="20"/>
        </w:rPr>
      </w:pPr>
    </w:p>
    <w:p w:rsidR="00A053D1" w:rsidRDefault="007B0A2E">
      <w:pPr>
        <w:spacing w:line="276" w:lineRule="auto"/>
        <w:jc w:val="right"/>
        <w:rPr>
          <w:rFonts w:ascii="Arial" w:hAnsi="Arial" w:cs="Arial"/>
          <w:sz w:val="20"/>
          <w:szCs w:val="20"/>
        </w:rPr>
      </w:pPr>
      <w:r>
        <w:rPr>
          <w:rFonts w:ascii="Arial" w:hAnsi="Arial" w:cs="Arial"/>
          <w:sz w:val="20"/>
          <w:szCs w:val="20"/>
        </w:rPr>
        <w:t>(</w:t>
      </w:r>
      <w:r>
        <w:rPr>
          <w:rFonts w:ascii="Arial" w:hAnsi="Arial" w:cs="Arial"/>
          <w:b/>
          <w:sz w:val="20"/>
          <w:szCs w:val="20"/>
        </w:rPr>
        <w:t>BioMedIT Node</w:t>
      </w:r>
      <w:r>
        <w:rPr>
          <w:rFonts w:ascii="Arial" w:hAnsi="Arial" w:cs="Arial"/>
          <w:sz w:val="20"/>
          <w:szCs w:val="20"/>
        </w:rPr>
        <w:t>)</w:t>
      </w: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A053D1">
      <w:pPr>
        <w:spacing w:line="276" w:lineRule="auto"/>
        <w:rPr>
          <w:rFonts w:ascii="Arial" w:hAnsi="Arial" w:cs="Arial"/>
          <w:sz w:val="20"/>
          <w:szCs w:val="20"/>
        </w:rPr>
      </w:pPr>
    </w:p>
    <w:p w:rsidR="00A053D1" w:rsidRDefault="007B0A2E">
      <w:pPr>
        <w:spacing w:line="276" w:lineRule="auto"/>
        <w:jc w:val="right"/>
        <w:rPr>
          <w:rFonts w:ascii="Arial" w:hAnsi="Arial" w:cs="Arial"/>
          <w:sz w:val="20"/>
          <w:szCs w:val="20"/>
        </w:rPr>
      </w:pPr>
      <w:r>
        <w:rPr>
          <w:rFonts w:ascii="Arial" w:hAnsi="Arial" w:cs="Arial"/>
          <w:sz w:val="20"/>
          <w:szCs w:val="20"/>
        </w:rPr>
        <w:t xml:space="preserve">(Provider and the </w:t>
      </w:r>
      <w:r>
        <w:rPr>
          <w:rFonts w:ascii="Arial" w:hAnsi="Arial" w:cs="Arial"/>
          <w:bCs/>
          <w:sz w:val="20"/>
          <w:szCs w:val="20"/>
        </w:rPr>
        <w:t>BioMedIT Node, the</w:t>
      </w:r>
      <w:r>
        <w:rPr>
          <w:rFonts w:ascii="Arial" w:hAnsi="Arial" w:cs="Arial"/>
          <w:sz w:val="20"/>
          <w:szCs w:val="20"/>
        </w:rPr>
        <w:t xml:space="preserve"> </w:t>
      </w:r>
      <w:r>
        <w:rPr>
          <w:rFonts w:ascii="Arial" w:hAnsi="Arial" w:cs="Arial"/>
          <w:b/>
          <w:bCs/>
          <w:sz w:val="20"/>
          <w:szCs w:val="20"/>
        </w:rPr>
        <w:t>Parties</w:t>
      </w:r>
      <w:r>
        <w:rPr>
          <w:rFonts w:ascii="Arial" w:hAnsi="Arial" w:cs="Arial"/>
          <w:sz w:val="20"/>
          <w:szCs w:val="20"/>
        </w:rPr>
        <w:t>)</w:t>
      </w:r>
    </w:p>
    <w:p w:rsidR="00A053D1" w:rsidRDefault="00A053D1">
      <w:pPr>
        <w:rPr>
          <w:rFonts w:ascii="Arial" w:hAnsi="Arial" w:cs="Arial"/>
          <w:sz w:val="20"/>
          <w:szCs w:val="20"/>
        </w:rPr>
      </w:pPr>
    </w:p>
    <w:p w:rsidR="00A053D1" w:rsidRDefault="007B0A2E">
      <w:pPr>
        <w:rPr>
          <w:rFonts w:ascii="Arial" w:hAnsi="Arial" w:cs="Arial"/>
          <w:sz w:val="20"/>
          <w:szCs w:val="20"/>
        </w:rPr>
      </w:pPr>
      <w:r>
        <w:rPr>
          <w:rFonts w:ascii="Arial" w:hAnsi="Arial" w:cs="Arial"/>
          <w:sz w:val="20"/>
          <w:szCs w:val="20"/>
        </w:rPr>
        <w:br w:type="page"/>
      </w:r>
      <w:bookmarkStart w:id="0" w:name="_GoBack"/>
      <w:bookmarkEnd w:id="0"/>
    </w:p>
    <w:p w:rsidR="00A053D1" w:rsidRDefault="00A053D1">
      <w:pPr>
        <w:pBdr>
          <w:bottom w:val="single" w:sz="4" w:space="1" w:color="auto"/>
        </w:pBdr>
        <w:spacing w:line="276" w:lineRule="auto"/>
        <w:jc w:val="both"/>
        <w:rPr>
          <w:rFonts w:ascii="Arial" w:hAnsi="Arial" w:cs="Arial"/>
          <w:sz w:val="20"/>
          <w:szCs w:val="20"/>
        </w:rPr>
      </w:pPr>
    </w:p>
    <w:p w:rsidR="00A053D1" w:rsidRDefault="00A053D1">
      <w:pPr>
        <w:pBdr>
          <w:bottom w:val="single" w:sz="4" w:space="1" w:color="auto"/>
        </w:pBdr>
        <w:spacing w:line="276" w:lineRule="auto"/>
        <w:jc w:val="both"/>
        <w:rPr>
          <w:rFonts w:ascii="Arial" w:hAnsi="Arial" w:cs="Arial"/>
          <w:sz w:val="20"/>
          <w:szCs w:val="20"/>
        </w:rPr>
      </w:pPr>
    </w:p>
    <w:p w:rsidR="00A053D1" w:rsidRDefault="00A053D1">
      <w:pPr>
        <w:pStyle w:val="AppendixTitle"/>
        <w:spacing w:line="276" w:lineRule="auto"/>
        <w:jc w:val="both"/>
        <w:rPr>
          <w:sz w:val="20"/>
        </w:rPr>
      </w:pPr>
    </w:p>
    <w:p w:rsidR="00A053D1" w:rsidRDefault="007B0A2E">
      <w:pPr>
        <w:pStyle w:val="AppendixTitle"/>
        <w:spacing w:line="276" w:lineRule="auto"/>
        <w:jc w:val="both"/>
        <w:rPr>
          <w:sz w:val="20"/>
        </w:rPr>
      </w:pPr>
      <w:r>
        <w:rPr>
          <w:sz w:val="20"/>
        </w:rPr>
        <w:t>PREAMBLE</w:t>
      </w:r>
    </w:p>
    <w:p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 xml:space="preserve">Provider is the controller of data, as set forth in </w:t>
      </w:r>
      <w:r>
        <w:rPr>
          <w:b/>
          <w:sz w:val="20"/>
        </w:rPr>
        <w:t>Appendix 1</w:t>
      </w:r>
      <w:r>
        <w:rPr>
          <w:sz w:val="20"/>
        </w:rPr>
        <w:t xml:space="preserve"> of this Agreement.</w:t>
      </w:r>
    </w:p>
    <w:p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The BioMedIT</w:t>
      </w:r>
      <w:r>
        <w:rPr>
          <w:sz w:val="20"/>
        </w:rPr>
        <w:t xml:space="preserve"> Node is an IT infrastructure consisting of high performance computers and storage infrastructure, in order to support computational biomedical research and clinical bioinformatics. The [</w:t>
      </w:r>
      <w:r>
        <w:rPr>
          <w:sz w:val="20"/>
          <w:highlight w:val="yellow"/>
        </w:rPr>
        <w:t>name of the selected BioMedIT Node</w:t>
      </w:r>
      <w:r>
        <w:rPr>
          <w:sz w:val="20"/>
        </w:rPr>
        <w:t>] enables inter alia Swiss national</w:t>
      </w:r>
      <w:r>
        <w:rPr>
          <w:sz w:val="20"/>
        </w:rPr>
        <w:t xml:space="preserve"> or international data providers, to transfer their clinical or other data to selected researchers and other designated recipients (each a </w:t>
      </w:r>
      <w:r>
        <w:rPr>
          <w:b/>
          <w:sz w:val="20"/>
        </w:rPr>
        <w:t>Recipient</w:t>
      </w:r>
      <w:r>
        <w:rPr>
          <w:sz w:val="20"/>
        </w:rPr>
        <w:t>).</w:t>
      </w:r>
    </w:p>
    <w:p w:rsidR="00A053D1" w:rsidRDefault="007B0A2E">
      <w:pPr>
        <w:pStyle w:val="Preambleparagraph"/>
        <w:numPr>
          <w:ilvl w:val="0"/>
          <w:numId w:val="7"/>
        </w:numPr>
        <w:pBdr>
          <w:top w:val="none" w:sz="0" w:space="0" w:color="auto"/>
          <w:left w:val="none" w:sz="0" w:space="0" w:color="auto"/>
          <w:bottom w:val="none" w:sz="0" w:space="0" w:color="auto"/>
          <w:right w:val="none" w:sz="0" w:space="0" w:color="auto"/>
          <w:between w:val="none" w:sz="0" w:space="0" w:color="auto"/>
        </w:pBdr>
        <w:tabs>
          <w:tab w:val="clear" w:pos="851"/>
          <w:tab w:val="clear" w:pos="3120"/>
        </w:tabs>
        <w:ind w:left="851" w:hanging="851"/>
        <w:rPr>
          <w:sz w:val="20"/>
        </w:rPr>
      </w:pPr>
      <w:r>
        <w:rPr>
          <w:sz w:val="20"/>
        </w:rPr>
        <w:t>The Provider wishes to benefit from the BioMedIT Node services as described in this Agreement to inter al</w:t>
      </w:r>
      <w:r>
        <w:rPr>
          <w:sz w:val="20"/>
        </w:rPr>
        <w:t xml:space="preserve">ia store data and transfer Data to </w:t>
      </w:r>
      <w:r>
        <w:rPr>
          <w:sz w:val="20"/>
          <w:lang w:val="en-US"/>
        </w:rPr>
        <w:t>Recipients</w:t>
      </w:r>
      <w:r>
        <w:rPr>
          <w:sz w:val="20"/>
        </w:rPr>
        <w:t>.</w:t>
      </w:r>
    </w:p>
    <w:p w:rsidR="00A053D1" w:rsidRDefault="00A053D1">
      <w:pPr>
        <w:pBdr>
          <w:bottom w:val="single" w:sz="4" w:space="1" w:color="auto"/>
        </w:pBdr>
        <w:spacing w:line="276" w:lineRule="auto"/>
        <w:jc w:val="both"/>
        <w:rPr>
          <w:rFonts w:ascii="Arial" w:hAnsi="Arial" w:cs="Arial"/>
          <w:sz w:val="20"/>
          <w:szCs w:val="20"/>
          <w:lang w:val="en-GB"/>
        </w:rPr>
      </w:pPr>
    </w:p>
    <w:p w:rsidR="00A053D1" w:rsidRDefault="007B0A2E">
      <w:pPr>
        <w:pStyle w:val="Heading2"/>
        <w:rPr>
          <w:sz w:val="20"/>
          <w:szCs w:val="20"/>
        </w:rPr>
      </w:pPr>
      <w:bookmarkStart w:id="1" w:name="_Toc27154767"/>
      <w:bookmarkStart w:id="2" w:name="_Toc31904510"/>
      <w:r>
        <w:rPr>
          <w:sz w:val="20"/>
          <w:szCs w:val="20"/>
        </w:rPr>
        <w:t>Definitions</w:t>
      </w:r>
      <w:bookmarkEnd w:id="1"/>
      <w:bookmarkEnd w:id="2"/>
    </w:p>
    <w:p w:rsidR="00A053D1" w:rsidRDefault="007B0A2E">
      <w:pPr>
        <w:pStyle w:val="Sectionparagraph"/>
        <w:rPr>
          <w:rStyle w:val="CommentReference"/>
          <w:sz w:val="20"/>
          <w:szCs w:val="20"/>
        </w:rPr>
      </w:pPr>
      <w:r>
        <w:rPr>
          <w:sz w:val="20"/>
        </w:rPr>
        <w:t>Unless otherwise defined in this Agreement, terms shall have the meaning described in the SPHN Glossary</w:t>
      </w:r>
      <w:r>
        <w:rPr>
          <w:rStyle w:val="CommentReference"/>
          <w:sz w:val="20"/>
          <w:szCs w:val="20"/>
        </w:rPr>
        <w:t xml:space="preserve"> </w:t>
      </w:r>
    </w:p>
    <w:p w:rsidR="00A053D1" w:rsidRDefault="007B0A2E">
      <w:pPr>
        <w:pStyle w:val="Sectionparagraph"/>
        <w:numPr>
          <w:ilvl w:val="0"/>
          <w:numId w:val="0"/>
        </w:numPr>
        <w:ind w:left="851"/>
        <w:rPr>
          <w:sz w:val="20"/>
        </w:rPr>
      </w:pPr>
      <w:hyperlink r:id="rId7" w:history="1">
        <w:r>
          <w:rPr>
            <w:rStyle w:val="Hyperlink"/>
            <w:sz w:val="20"/>
          </w:rPr>
          <w:t>https://sphn.ch/document/sphn-glossary/</w:t>
        </w:r>
      </w:hyperlink>
    </w:p>
    <w:p w:rsidR="00A053D1" w:rsidRDefault="007B0A2E">
      <w:pPr>
        <w:pStyle w:val="Sectionparagraph"/>
        <w:numPr>
          <w:ilvl w:val="0"/>
          <w:numId w:val="0"/>
        </w:numPr>
        <w:ind w:left="851"/>
        <w:rPr>
          <w:sz w:val="20"/>
        </w:rPr>
      </w:pPr>
      <w:r>
        <w:rPr>
          <w:sz w:val="20"/>
        </w:rPr>
        <w:t xml:space="preserve">or in the absence thereof, as provided by applicable laws. </w:t>
      </w:r>
    </w:p>
    <w:p w:rsidR="00A053D1" w:rsidRDefault="007B0A2E">
      <w:pPr>
        <w:pStyle w:val="Sectionparagraph"/>
        <w:rPr>
          <w:sz w:val="20"/>
        </w:rPr>
      </w:pPr>
      <w:bookmarkStart w:id="3" w:name="_Ref31815627"/>
      <w:r>
        <w:rPr>
          <w:sz w:val="20"/>
        </w:rPr>
        <w:t>Capitalized terms, whether used in singular or plural form, shall have the following meaning:</w:t>
      </w:r>
      <w:bookmarkEnd w:id="3"/>
    </w:p>
    <w:p w:rsidR="00A053D1" w:rsidRDefault="007B0A2E">
      <w:pPr>
        <w:pStyle w:val="Letterlist"/>
        <w:numPr>
          <w:ilvl w:val="0"/>
          <w:numId w:val="0"/>
        </w:numPr>
        <w:ind w:left="851"/>
        <w:rPr>
          <w:b/>
          <w:sz w:val="20"/>
        </w:rPr>
      </w:pPr>
      <w:r>
        <w:rPr>
          <w:b/>
          <w:sz w:val="20"/>
        </w:rPr>
        <w:t>Data</w:t>
      </w:r>
      <w:r>
        <w:rPr>
          <w:sz w:val="20"/>
        </w:rPr>
        <w:t>: means all the data, including the clinical, laboratory a</w:t>
      </w:r>
      <w:r>
        <w:rPr>
          <w:sz w:val="20"/>
        </w:rPr>
        <w:t xml:space="preserve">nd radiology data, and/or meta data, as well as any Personal Data contained therein, being transferred (or if not transferred, the data given access to) under this Agreement, as set forth in </w:t>
      </w:r>
      <w:r>
        <w:rPr>
          <w:b/>
          <w:sz w:val="20"/>
        </w:rPr>
        <w:t>Appendix 1</w:t>
      </w:r>
      <w:r>
        <w:rPr>
          <w:sz w:val="20"/>
        </w:rPr>
        <w:t xml:space="preserve"> of this Agreement.</w:t>
      </w:r>
    </w:p>
    <w:p w:rsidR="00A053D1" w:rsidRDefault="007B0A2E">
      <w:pPr>
        <w:pStyle w:val="Letterlist"/>
        <w:numPr>
          <w:ilvl w:val="0"/>
          <w:numId w:val="0"/>
        </w:numPr>
        <w:ind w:left="851"/>
        <w:rPr>
          <w:b/>
          <w:sz w:val="20"/>
        </w:rPr>
      </w:pPr>
      <w:r>
        <w:rPr>
          <w:b/>
          <w:sz w:val="20"/>
        </w:rPr>
        <w:t>Confidential Information</w:t>
      </w:r>
      <w:r>
        <w:rPr>
          <w:sz w:val="20"/>
        </w:rPr>
        <w:t xml:space="preserve">: means </w:t>
      </w:r>
      <w:bookmarkStart w:id="4" w:name="_Hlk8113424"/>
      <w:r>
        <w:rPr>
          <w:sz w:val="20"/>
        </w:rPr>
        <w:t>any</w:t>
      </w:r>
      <w:r>
        <w:rPr>
          <w:sz w:val="20"/>
        </w:rPr>
        <w:t xml:space="preserve"> data, documents, information or other material</w:t>
      </w:r>
      <w:bookmarkEnd w:id="4"/>
      <w:r>
        <w:rPr>
          <w:sz w:val="20"/>
        </w:rPr>
        <w:t xml:space="preserve"> (in any form) that is identified as confidential in writing, or otherwise designated in writing as confidential, or which may reasonably be regarded as confidential, and which is disclosed hereunder by a Part</w:t>
      </w:r>
      <w:r>
        <w:rPr>
          <w:sz w:val="20"/>
        </w:rPr>
        <w:t>y to another Party.</w:t>
      </w:r>
    </w:p>
    <w:p w:rsidR="00A053D1" w:rsidRDefault="007B0A2E">
      <w:pPr>
        <w:pStyle w:val="Letterlist"/>
        <w:numPr>
          <w:ilvl w:val="0"/>
          <w:numId w:val="0"/>
        </w:numPr>
        <w:ind w:left="851"/>
        <w:rPr>
          <w:rStyle w:val="CommentReference"/>
          <w:sz w:val="20"/>
          <w:szCs w:val="20"/>
        </w:rPr>
      </w:pPr>
      <w:r>
        <w:rPr>
          <w:b/>
          <w:color w:val="000000"/>
          <w:sz w:val="20"/>
        </w:rPr>
        <w:t>Data Subject</w:t>
      </w:r>
      <w:r>
        <w:rPr>
          <w:color w:val="000000"/>
          <w:sz w:val="20"/>
        </w:rPr>
        <w:t xml:space="preserve">: </w:t>
      </w:r>
      <w:r>
        <w:rPr>
          <w:sz w:val="20"/>
        </w:rPr>
        <w:t>means any data subject whose personal data are included in the Data</w:t>
      </w:r>
      <w:r>
        <w:rPr>
          <w:i/>
          <w:color w:val="000000"/>
          <w:sz w:val="20"/>
        </w:rPr>
        <w:t>.</w:t>
      </w:r>
      <w:r>
        <w:rPr>
          <w:rStyle w:val="CommentReference"/>
          <w:i/>
          <w:color w:val="000000"/>
          <w:sz w:val="20"/>
          <w:szCs w:val="20"/>
          <w:lang w:eastAsia="nl-NL"/>
        </w:rPr>
        <w:t xml:space="preserve"> </w:t>
      </w:r>
    </w:p>
    <w:p w:rsidR="00A053D1" w:rsidRDefault="007B0A2E">
      <w:pPr>
        <w:pStyle w:val="Letterlist"/>
        <w:numPr>
          <w:ilvl w:val="0"/>
          <w:numId w:val="0"/>
        </w:numPr>
        <w:ind w:left="851"/>
        <w:rPr>
          <w:sz w:val="20"/>
        </w:rPr>
      </w:pPr>
      <w:r>
        <w:rPr>
          <w:b/>
          <w:bCs/>
          <w:sz w:val="20"/>
        </w:rPr>
        <w:t>Intellectual Property Rights</w:t>
      </w:r>
      <w:r>
        <w:rPr>
          <w:sz w:val="20"/>
        </w:rPr>
        <w:t>: means all rights, title and interest, registered or not, whether arising from Swiss or any other nat</w:t>
      </w:r>
      <w:r>
        <w:rPr>
          <w:sz w:val="20"/>
        </w:rPr>
        <w:t>ional or international legislation, in copyright, databases, trademark, domain names, designs and patents of invention, know-how, confidentiality and/or business secrets, and all other intellectual property or similar proprietary rights of whatever nature.</w:t>
      </w:r>
    </w:p>
    <w:p w:rsidR="00A053D1" w:rsidRDefault="007B0A2E">
      <w:pPr>
        <w:pStyle w:val="Letterlist"/>
        <w:numPr>
          <w:ilvl w:val="0"/>
          <w:numId w:val="0"/>
        </w:numPr>
        <w:ind w:left="851"/>
        <w:rPr>
          <w:sz w:val="20"/>
        </w:rPr>
      </w:pPr>
      <w:r>
        <w:rPr>
          <w:b/>
          <w:sz w:val="20"/>
        </w:rPr>
        <w:t>Principals</w:t>
      </w:r>
      <w:r>
        <w:rPr>
          <w:sz w:val="20"/>
        </w:rPr>
        <w:t>: means the Provider and the Recipients jointly.</w:t>
      </w:r>
    </w:p>
    <w:p w:rsidR="00A053D1" w:rsidRDefault="007B0A2E">
      <w:pPr>
        <w:pStyle w:val="Heading2"/>
        <w:rPr>
          <w:sz w:val="20"/>
          <w:szCs w:val="20"/>
        </w:rPr>
      </w:pPr>
      <w:bookmarkStart w:id="5" w:name="_Ref27151507"/>
      <w:bookmarkStart w:id="6" w:name="_Toc27154768"/>
      <w:bookmarkStart w:id="7" w:name="_Toc31904511"/>
      <w:r>
        <w:rPr>
          <w:sz w:val="20"/>
          <w:szCs w:val="20"/>
        </w:rPr>
        <w:t>General Terms of Services</w:t>
      </w:r>
      <w:bookmarkEnd w:id="5"/>
      <w:bookmarkEnd w:id="6"/>
      <w:bookmarkEnd w:id="7"/>
    </w:p>
    <w:p w:rsidR="00A053D1" w:rsidRDefault="007B0A2E">
      <w:pPr>
        <w:pStyle w:val="Sectiontitle"/>
        <w:rPr>
          <w:sz w:val="20"/>
          <w:szCs w:val="20"/>
        </w:rPr>
      </w:pPr>
      <w:bookmarkStart w:id="8" w:name="_Toc27154769"/>
      <w:bookmarkStart w:id="9" w:name="_Toc31904512"/>
      <w:r>
        <w:rPr>
          <w:sz w:val="20"/>
          <w:szCs w:val="20"/>
        </w:rPr>
        <w:t>Services</w:t>
      </w:r>
      <w:bookmarkEnd w:id="8"/>
      <w:bookmarkEnd w:id="9"/>
      <w:r>
        <w:rPr>
          <w:sz w:val="20"/>
          <w:szCs w:val="20"/>
        </w:rPr>
        <w:t xml:space="preserve"> </w:t>
      </w:r>
    </w:p>
    <w:p w:rsidR="00A053D1" w:rsidRDefault="007B0A2E">
      <w:pPr>
        <w:pStyle w:val="Sectionparagraph"/>
        <w:rPr>
          <w:sz w:val="20"/>
        </w:rPr>
      </w:pPr>
      <w:r>
        <w:rPr>
          <w:sz w:val="20"/>
          <w:u w:val="single"/>
        </w:rPr>
        <w:t xml:space="preserve">In </w:t>
      </w:r>
      <w:proofErr w:type="gramStart"/>
      <w:r>
        <w:rPr>
          <w:sz w:val="20"/>
          <w:u w:val="single"/>
        </w:rPr>
        <w:t>General</w:t>
      </w:r>
      <w:proofErr w:type="gramEnd"/>
      <w:r>
        <w:rPr>
          <w:sz w:val="20"/>
        </w:rPr>
        <w:t xml:space="preserve">. Subject to, and in accordance with, the terms of this Agreement, the BioMedIT Node undertakes to provide to </w:t>
      </w:r>
      <w:proofErr w:type="spellStart"/>
      <w:r>
        <w:rPr>
          <w:sz w:val="20"/>
        </w:rPr>
        <w:t>Provider</w:t>
      </w:r>
      <w:proofErr w:type="spellEnd"/>
      <w:r>
        <w:rPr>
          <w:sz w:val="20"/>
        </w:rPr>
        <w:t xml:space="preserve"> the services specified in </w:t>
      </w:r>
      <w:r w:rsidRPr="000664D4">
        <w:rPr>
          <w:sz w:val="20"/>
          <w:u w:val="single"/>
        </w:rPr>
        <w:t>Secti</w:t>
      </w:r>
      <w:r w:rsidRPr="000664D4">
        <w:rPr>
          <w:sz w:val="20"/>
          <w:u w:val="single"/>
        </w:rPr>
        <w:t xml:space="preserve">on </w:t>
      </w:r>
      <w:r>
        <w:rPr>
          <w:sz w:val="20"/>
          <w:u w:val="single"/>
        </w:rPr>
        <w:t>II.</w:t>
      </w:r>
      <w:r w:rsidRPr="000664D4">
        <w:rPr>
          <w:sz w:val="20"/>
          <w:u w:val="single"/>
        </w:rPr>
        <w:t>2.2</w:t>
      </w:r>
      <w:r>
        <w:rPr>
          <w:sz w:val="20"/>
        </w:rPr>
        <w:t xml:space="preserve"> (the </w:t>
      </w:r>
      <w:r>
        <w:rPr>
          <w:b/>
          <w:sz w:val="20"/>
        </w:rPr>
        <w:t>Services</w:t>
      </w:r>
      <w:r>
        <w:rPr>
          <w:sz w:val="20"/>
        </w:rPr>
        <w:t xml:space="preserve">) to the best of its ability using all reasonable skill and care, and always subject to Provider’s compliance with all its obligations under the Agreement. </w:t>
      </w:r>
    </w:p>
    <w:p w:rsidR="00A053D1" w:rsidRDefault="007B0A2E">
      <w:pPr>
        <w:pStyle w:val="Sectionparagraph"/>
        <w:rPr>
          <w:sz w:val="20"/>
        </w:rPr>
      </w:pPr>
      <w:bookmarkStart w:id="10" w:name="_Ref33446881"/>
      <w:r>
        <w:rPr>
          <w:sz w:val="20"/>
          <w:u w:val="single"/>
        </w:rPr>
        <w:t>Scope</w:t>
      </w:r>
      <w:r>
        <w:rPr>
          <w:sz w:val="20"/>
        </w:rPr>
        <w:t>. The Services consist of, except as otherwise specified in Appendix 1,</w:t>
      </w:r>
      <w:r>
        <w:rPr>
          <w:sz w:val="20"/>
        </w:rPr>
        <w:t xml:space="preserve"> the following:</w:t>
      </w:r>
      <w:bookmarkEnd w:id="10"/>
    </w:p>
    <w:p w:rsidR="00A053D1" w:rsidRDefault="007B0A2E">
      <w:pPr>
        <w:pStyle w:val="Letterlist"/>
        <w:rPr>
          <w:sz w:val="20"/>
        </w:rPr>
      </w:pPr>
      <w:r>
        <w:rPr>
          <w:sz w:val="20"/>
        </w:rPr>
        <w:t>hosting of the Data on the BioMedIT Node;</w:t>
      </w:r>
    </w:p>
    <w:p w:rsidR="00A053D1" w:rsidRDefault="007B0A2E">
      <w:pPr>
        <w:pStyle w:val="Letterlist"/>
        <w:rPr>
          <w:sz w:val="20"/>
        </w:rPr>
      </w:pPr>
      <w:r>
        <w:rPr>
          <w:sz w:val="20"/>
        </w:rPr>
        <w:t>transferring Data to Recipients in accordance with this Agreement; and</w:t>
      </w:r>
    </w:p>
    <w:p w:rsidR="00A053D1" w:rsidRDefault="007B0A2E">
      <w:pPr>
        <w:pStyle w:val="Letterlist"/>
        <w:rPr>
          <w:sz w:val="20"/>
        </w:rPr>
      </w:pPr>
      <w:r>
        <w:rPr>
          <w:sz w:val="20"/>
        </w:rPr>
        <w:lastRenderedPageBreak/>
        <w:t>other processing activities as required under this Agreement or as reasonably requested by Provider.</w:t>
      </w:r>
    </w:p>
    <w:p w:rsidR="00A053D1" w:rsidRDefault="007B0A2E">
      <w:pPr>
        <w:pStyle w:val="Sectiontitle"/>
        <w:rPr>
          <w:sz w:val="20"/>
          <w:szCs w:val="20"/>
        </w:rPr>
      </w:pPr>
      <w:bookmarkStart w:id="11" w:name="_Toc27154770"/>
      <w:bookmarkStart w:id="12" w:name="_Toc31904513"/>
      <w:r>
        <w:rPr>
          <w:sz w:val="20"/>
          <w:szCs w:val="20"/>
        </w:rPr>
        <w:t>Financial Terms</w:t>
      </w:r>
      <w:bookmarkEnd w:id="11"/>
      <w:bookmarkEnd w:id="12"/>
    </w:p>
    <w:p w:rsidR="00A053D1" w:rsidRDefault="007B0A2E">
      <w:pPr>
        <w:pStyle w:val="Sectionparagraph"/>
        <w:rPr>
          <w:sz w:val="20"/>
          <w:lang w:val="en-US"/>
        </w:rPr>
      </w:pPr>
      <w:r>
        <w:rPr>
          <w:sz w:val="20"/>
          <w:u w:val="single"/>
        </w:rPr>
        <w:t>Payment of</w:t>
      </w:r>
      <w:r>
        <w:rPr>
          <w:sz w:val="20"/>
          <w:u w:val="single"/>
        </w:rPr>
        <w:t xml:space="preserve"> Fees</w:t>
      </w:r>
      <w:r>
        <w:rPr>
          <w:sz w:val="20"/>
        </w:rPr>
        <w:t xml:space="preserve">. Costs associated to the Services to be provided by BioMedIT Node shall be determined by mutual agreement between the Parties once the project for which Provider needs the </w:t>
      </w:r>
      <w:r>
        <w:rPr>
          <w:sz w:val="20"/>
          <w:lang w:val="en-US"/>
        </w:rPr>
        <w:t>BioMedIT Node</w:t>
      </w:r>
      <w:r>
        <w:rPr>
          <w:sz w:val="20"/>
        </w:rPr>
        <w:t xml:space="preserve"> has been validated by the competent ethics committee.</w:t>
      </w:r>
    </w:p>
    <w:p w:rsidR="00A053D1" w:rsidRDefault="007B0A2E">
      <w:pPr>
        <w:pStyle w:val="Sectiontitle"/>
        <w:numPr>
          <w:ilvl w:val="0"/>
          <w:numId w:val="0"/>
        </w:numPr>
        <w:ind w:left="851"/>
        <w:rPr>
          <w:sz w:val="20"/>
          <w:szCs w:val="20"/>
        </w:rPr>
      </w:pPr>
      <w:r>
        <w:rPr>
          <w:sz w:val="20"/>
          <w:szCs w:val="20"/>
        </w:rPr>
        <w:t>[</w:t>
      </w:r>
      <w:r>
        <w:rPr>
          <w:b w:val="0"/>
          <w:sz w:val="20"/>
          <w:szCs w:val="20"/>
          <w:highlight w:val="yellow"/>
        </w:rPr>
        <w:t>Or</w:t>
      </w:r>
      <w:r>
        <w:rPr>
          <w:sz w:val="20"/>
          <w:szCs w:val="20"/>
        </w:rPr>
        <w:t>]</w:t>
      </w:r>
    </w:p>
    <w:p w:rsidR="00A053D1" w:rsidRDefault="007B0A2E">
      <w:pPr>
        <w:pStyle w:val="Sectionparagraph"/>
        <w:numPr>
          <w:ilvl w:val="0"/>
          <w:numId w:val="0"/>
        </w:numPr>
        <w:ind w:left="851"/>
        <w:rPr>
          <w:sz w:val="20"/>
        </w:rPr>
      </w:pPr>
      <w:r>
        <w:rPr>
          <w:sz w:val="20"/>
          <w:u w:val="single"/>
        </w:rPr>
        <w:t>Payme</w:t>
      </w:r>
      <w:r>
        <w:rPr>
          <w:sz w:val="20"/>
          <w:u w:val="single"/>
        </w:rPr>
        <w:t>nt of Fees</w:t>
      </w:r>
      <w:r>
        <w:rPr>
          <w:sz w:val="20"/>
        </w:rPr>
        <w:t xml:space="preserve">. The Services are part of the SPHN initiative and are provided without any associated costs, </w:t>
      </w:r>
      <w:r>
        <w:rPr>
          <w:sz w:val="20"/>
          <w:lang w:eastAsia="de-CH"/>
        </w:rPr>
        <w:t>unless it surpassed a specifically defined upper limit of compute, storage or human resources.</w:t>
      </w:r>
    </w:p>
    <w:p w:rsidR="00A053D1" w:rsidRDefault="007B0A2E">
      <w:pPr>
        <w:pStyle w:val="Sectiontitle"/>
        <w:rPr>
          <w:sz w:val="20"/>
          <w:szCs w:val="20"/>
        </w:rPr>
      </w:pPr>
      <w:bookmarkStart w:id="13" w:name="_Toc27154771"/>
      <w:r>
        <w:rPr>
          <w:sz w:val="20"/>
          <w:szCs w:val="20"/>
        </w:rPr>
        <w:t>Main Point of C</w:t>
      </w:r>
      <w:bookmarkEnd w:id="13"/>
      <w:r>
        <w:rPr>
          <w:sz w:val="20"/>
          <w:szCs w:val="20"/>
        </w:rPr>
        <w:t>ontact</w:t>
      </w:r>
    </w:p>
    <w:p w:rsidR="00A053D1" w:rsidRDefault="007B0A2E">
      <w:pPr>
        <w:pStyle w:val="Sectionparagraph"/>
        <w:rPr>
          <w:sz w:val="20"/>
        </w:rPr>
      </w:pPr>
      <w:r>
        <w:rPr>
          <w:sz w:val="20"/>
          <w:u w:val="single"/>
        </w:rPr>
        <w:t>Designation</w:t>
      </w:r>
      <w:r>
        <w:rPr>
          <w:sz w:val="20"/>
        </w:rPr>
        <w:t xml:space="preserve">. Provider shall designate in Appendix 1 one or several persons within its organization to act as main point of contact (each a </w:t>
      </w:r>
      <w:r>
        <w:rPr>
          <w:b/>
          <w:sz w:val="20"/>
        </w:rPr>
        <w:t>MPOC</w:t>
      </w:r>
      <w:r>
        <w:rPr>
          <w:sz w:val="20"/>
        </w:rPr>
        <w:t>). Provider may from time to time, by means of a written notice to the BioMedIT Node, remove, change or add any MPOC, provid</w:t>
      </w:r>
      <w:r>
        <w:rPr>
          <w:sz w:val="20"/>
        </w:rPr>
        <w:t>ed that there shall always be at least one MPOC.</w:t>
      </w:r>
    </w:p>
    <w:p w:rsidR="00A053D1" w:rsidRDefault="007B0A2E">
      <w:pPr>
        <w:pStyle w:val="Sectionparagraph"/>
        <w:rPr>
          <w:sz w:val="20"/>
        </w:rPr>
      </w:pPr>
      <w:r>
        <w:rPr>
          <w:sz w:val="20"/>
          <w:u w:val="single"/>
        </w:rPr>
        <w:t>Power</w:t>
      </w:r>
      <w:r>
        <w:rPr>
          <w:sz w:val="20"/>
        </w:rPr>
        <w:t xml:space="preserve">. Each MPOC shall have the individual power to give instructions to, and receive notification from, the BioMedIT Node, on behalf of the Provider, for all actions relating to the Data, including for the </w:t>
      </w:r>
      <w:r>
        <w:rPr>
          <w:sz w:val="20"/>
        </w:rPr>
        <w:t xml:space="preserve">purpose of </w:t>
      </w:r>
      <w:r w:rsidRPr="000664D4">
        <w:rPr>
          <w:sz w:val="20"/>
          <w:u w:val="single"/>
        </w:rPr>
        <w:t xml:space="preserve">Section </w:t>
      </w:r>
      <w:r w:rsidRPr="000664D4">
        <w:rPr>
          <w:sz w:val="20"/>
          <w:u w:val="single"/>
        </w:rPr>
        <w:fldChar w:fldCharType="begin"/>
      </w:r>
      <w:r w:rsidRPr="000664D4">
        <w:rPr>
          <w:sz w:val="20"/>
          <w:u w:val="single"/>
        </w:rPr>
        <w:instrText xml:space="preserve"> REF _Ref27151507 \r \h  \* MERGEFORMAT </w:instrText>
      </w:r>
      <w:r w:rsidRPr="000664D4">
        <w:rPr>
          <w:sz w:val="20"/>
          <w:u w:val="single"/>
        </w:rPr>
      </w:r>
      <w:r w:rsidRPr="000664D4">
        <w:rPr>
          <w:sz w:val="20"/>
          <w:u w:val="single"/>
        </w:rPr>
        <w:fldChar w:fldCharType="separate"/>
      </w:r>
      <w:r w:rsidRPr="000664D4">
        <w:rPr>
          <w:sz w:val="20"/>
          <w:u w:val="single"/>
        </w:rPr>
        <w:t>II</w:t>
      </w:r>
      <w:r w:rsidRPr="000664D4">
        <w:rPr>
          <w:sz w:val="20"/>
          <w:u w:val="single"/>
        </w:rPr>
        <w:fldChar w:fldCharType="end"/>
      </w:r>
      <w:r w:rsidRPr="000664D4">
        <w:rPr>
          <w:sz w:val="20"/>
          <w:u w:val="single"/>
        </w:rPr>
        <w:t>.</w:t>
      </w:r>
      <w:r w:rsidRPr="000664D4">
        <w:rPr>
          <w:sz w:val="20"/>
          <w:u w:val="single"/>
        </w:rPr>
        <w:fldChar w:fldCharType="begin"/>
      </w:r>
      <w:r w:rsidRPr="000664D4">
        <w:rPr>
          <w:sz w:val="20"/>
          <w:u w:val="single"/>
        </w:rPr>
        <w:instrText xml:space="preserve"> REF _Ref27115420 \r \h  \* MERGEFORMAT </w:instrText>
      </w:r>
      <w:r w:rsidRPr="000664D4">
        <w:rPr>
          <w:sz w:val="20"/>
          <w:u w:val="single"/>
        </w:rPr>
      </w:r>
      <w:r w:rsidRPr="000664D4">
        <w:rPr>
          <w:sz w:val="20"/>
          <w:u w:val="single"/>
        </w:rPr>
        <w:fldChar w:fldCharType="separate"/>
      </w:r>
      <w:r w:rsidRPr="000664D4">
        <w:rPr>
          <w:sz w:val="20"/>
          <w:u w:val="single"/>
        </w:rPr>
        <w:t>5</w:t>
      </w:r>
      <w:r w:rsidRPr="000664D4">
        <w:rPr>
          <w:sz w:val="20"/>
          <w:u w:val="single"/>
        </w:rPr>
        <w:fldChar w:fldCharType="end"/>
      </w:r>
      <w:r w:rsidRPr="000664D4">
        <w:rPr>
          <w:sz w:val="20"/>
          <w:u w:val="single"/>
        </w:rPr>
        <w:t>.</w:t>
      </w:r>
      <w:r>
        <w:rPr>
          <w:sz w:val="20"/>
        </w:rPr>
        <w:t xml:space="preserve"> below. </w:t>
      </w:r>
    </w:p>
    <w:p w:rsidR="00A053D1" w:rsidRDefault="007B0A2E">
      <w:pPr>
        <w:pStyle w:val="Sectiontitle"/>
        <w:rPr>
          <w:sz w:val="20"/>
          <w:szCs w:val="20"/>
        </w:rPr>
      </w:pPr>
      <w:bookmarkStart w:id="14" w:name="_Ref27115420"/>
      <w:bookmarkStart w:id="15" w:name="_Toc27154772"/>
      <w:bookmarkStart w:id="16" w:name="_Toc31904515"/>
      <w:r>
        <w:rPr>
          <w:sz w:val="20"/>
          <w:szCs w:val="20"/>
        </w:rPr>
        <w:t>Transfers to Recipients</w:t>
      </w:r>
      <w:bookmarkEnd w:id="14"/>
      <w:bookmarkEnd w:id="15"/>
      <w:bookmarkEnd w:id="16"/>
    </w:p>
    <w:p w:rsidR="00A053D1" w:rsidRDefault="007B0A2E">
      <w:pPr>
        <w:pStyle w:val="Sectionparagraph"/>
        <w:rPr>
          <w:sz w:val="20"/>
        </w:rPr>
      </w:pPr>
      <w:bookmarkStart w:id="17" w:name="_Ref31812309"/>
      <w:r>
        <w:rPr>
          <w:sz w:val="20"/>
          <w:u w:val="single"/>
        </w:rPr>
        <w:t xml:space="preserve">In </w:t>
      </w:r>
      <w:proofErr w:type="gramStart"/>
      <w:r>
        <w:rPr>
          <w:sz w:val="20"/>
          <w:u w:val="single"/>
        </w:rPr>
        <w:t>General</w:t>
      </w:r>
      <w:proofErr w:type="gramEnd"/>
      <w:r>
        <w:rPr>
          <w:sz w:val="20"/>
        </w:rPr>
        <w:t>. Provider may, by an instruction through a MPOC, designate selected Recipients to which all or part of the Data shall be transferred to.</w:t>
      </w:r>
      <w:bookmarkEnd w:id="17"/>
      <w:r>
        <w:rPr>
          <w:sz w:val="20"/>
        </w:rPr>
        <w:t xml:space="preserve"> </w:t>
      </w:r>
    </w:p>
    <w:p w:rsidR="00A053D1" w:rsidRDefault="007B0A2E">
      <w:pPr>
        <w:pStyle w:val="Sectionparagraph"/>
        <w:rPr>
          <w:sz w:val="20"/>
        </w:rPr>
      </w:pPr>
      <w:r>
        <w:rPr>
          <w:sz w:val="20"/>
          <w:u w:val="single"/>
        </w:rPr>
        <w:t>Means of T</w:t>
      </w:r>
      <w:r>
        <w:rPr>
          <w:sz w:val="20"/>
          <w:u w:val="single"/>
        </w:rPr>
        <w:t>ransfer</w:t>
      </w:r>
      <w:r>
        <w:rPr>
          <w:sz w:val="20"/>
        </w:rPr>
        <w:t xml:space="preserve">. Except as otherwise agreed in writing, Data shall be transferred by providing to Recipients remote secured access to the Data in accordance with the security standards specified in </w:t>
      </w:r>
      <w:r w:rsidRPr="000664D4">
        <w:rPr>
          <w:sz w:val="20"/>
          <w:u w:val="single"/>
        </w:rPr>
        <w:t xml:space="preserve">Section </w:t>
      </w:r>
      <w:r w:rsidRPr="000664D4">
        <w:rPr>
          <w:sz w:val="20"/>
          <w:u w:val="single"/>
        </w:rPr>
        <w:fldChar w:fldCharType="begin"/>
      </w:r>
      <w:r w:rsidRPr="000664D4">
        <w:rPr>
          <w:sz w:val="20"/>
          <w:u w:val="single"/>
        </w:rPr>
        <w:instrText xml:space="preserve"> REF _Ref27152630 \r \h  \* MERGEFORMAT </w:instrText>
      </w:r>
      <w:r w:rsidRPr="000664D4">
        <w:rPr>
          <w:sz w:val="20"/>
          <w:u w:val="single"/>
        </w:rPr>
      </w:r>
      <w:r w:rsidRPr="000664D4">
        <w:rPr>
          <w:sz w:val="20"/>
          <w:u w:val="single"/>
        </w:rPr>
        <w:fldChar w:fldCharType="separate"/>
      </w:r>
      <w:r w:rsidRPr="000664D4">
        <w:rPr>
          <w:sz w:val="20"/>
          <w:u w:val="single"/>
        </w:rPr>
        <w:t>III</w:t>
      </w:r>
      <w:r w:rsidRPr="000664D4">
        <w:rPr>
          <w:sz w:val="20"/>
          <w:u w:val="single"/>
        </w:rPr>
        <w:fldChar w:fldCharType="end"/>
      </w:r>
      <w:r w:rsidRPr="000664D4">
        <w:rPr>
          <w:sz w:val="20"/>
          <w:u w:val="single"/>
        </w:rPr>
        <w:t>.</w:t>
      </w:r>
      <w:r w:rsidRPr="000664D4">
        <w:rPr>
          <w:sz w:val="20"/>
          <w:u w:val="single"/>
        </w:rPr>
        <w:fldChar w:fldCharType="begin"/>
      </w:r>
      <w:r w:rsidRPr="000664D4">
        <w:rPr>
          <w:sz w:val="20"/>
          <w:u w:val="single"/>
        </w:rPr>
        <w:instrText xml:space="preserve"> REF _Ref27127896 \r \h  \* MERGEFORMAT </w:instrText>
      </w:r>
      <w:r w:rsidRPr="000664D4">
        <w:rPr>
          <w:sz w:val="20"/>
          <w:u w:val="single"/>
        </w:rPr>
      </w:r>
      <w:r w:rsidRPr="000664D4">
        <w:rPr>
          <w:sz w:val="20"/>
          <w:u w:val="single"/>
        </w:rPr>
        <w:fldChar w:fldCharType="separate"/>
      </w:r>
      <w:r w:rsidRPr="000664D4">
        <w:rPr>
          <w:sz w:val="20"/>
          <w:u w:val="single"/>
        </w:rPr>
        <w:t>8.1</w:t>
      </w:r>
      <w:r w:rsidRPr="000664D4">
        <w:rPr>
          <w:sz w:val="20"/>
          <w:u w:val="single"/>
        </w:rPr>
        <w:fldChar w:fldCharType="end"/>
      </w:r>
      <w:r>
        <w:rPr>
          <w:sz w:val="20"/>
        </w:rPr>
        <w:t xml:space="preserve">. </w:t>
      </w:r>
    </w:p>
    <w:p w:rsidR="00A053D1" w:rsidRDefault="007B0A2E">
      <w:pPr>
        <w:pStyle w:val="Sectionparagraph"/>
        <w:rPr>
          <w:sz w:val="20"/>
        </w:rPr>
      </w:pPr>
      <w:r>
        <w:rPr>
          <w:sz w:val="20"/>
          <w:u w:val="single"/>
        </w:rPr>
        <w:t>Responsibility</w:t>
      </w:r>
      <w:r>
        <w:rPr>
          <w:sz w:val="20"/>
        </w:rPr>
        <w:t xml:space="preserve">. Provider shall ensure that the Recipients: </w:t>
      </w:r>
    </w:p>
    <w:p w:rsidR="00A053D1" w:rsidRDefault="007B0A2E">
      <w:pPr>
        <w:pStyle w:val="Letterlist"/>
        <w:rPr>
          <w:sz w:val="20"/>
        </w:rPr>
      </w:pPr>
      <w:r>
        <w:rPr>
          <w:sz w:val="20"/>
        </w:rPr>
        <w:t>comply with the security require</w:t>
      </w:r>
      <w:r>
        <w:rPr>
          <w:sz w:val="20"/>
        </w:rPr>
        <w:t xml:space="preserve">ment of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and have in place pr</w:t>
      </w:r>
      <w:r>
        <w:rPr>
          <w:sz w:val="20"/>
        </w:rPr>
        <w:t xml:space="preserve">ocedures so that any person to which access to Data is being granted maintain the confidentiality and security of the Data; </w:t>
      </w:r>
    </w:p>
    <w:p w:rsidR="00A053D1" w:rsidRDefault="007B0A2E">
      <w:pPr>
        <w:pStyle w:val="Letterlist"/>
        <w:rPr>
          <w:sz w:val="20"/>
        </w:rPr>
      </w:pPr>
      <w:r>
        <w:rPr>
          <w:sz w:val="20"/>
        </w:rPr>
        <w:t>maintain the confidentiality of any credential and/or passwords required to access the Data and immediately inform the BioMedIT Nod</w:t>
      </w:r>
      <w:r>
        <w:rPr>
          <w:sz w:val="20"/>
        </w:rPr>
        <w:t>e of any loss or unauthorized disclosure of such credential and/or passwords, or if any authorised user for whom credentials have been issued quits Recipient’s organization. The BioMedIT Node shall neither be responsible in case of improper use of the said</w:t>
      </w:r>
      <w:r>
        <w:rPr>
          <w:sz w:val="20"/>
        </w:rPr>
        <w:t xml:space="preserve"> credentials by Recipients nor in case of access and / or use by an unauthorized third party.</w:t>
      </w:r>
    </w:p>
    <w:p w:rsidR="00A053D1" w:rsidRDefault="007B0A2E">
      <w:pPr>
        <w:pStyle w:val="Heading2"/>
        <w:rPr>
          <w:sz w:val="20"/>
          <w:szCs w:val="20"/>
        </w:rPr>
      </w:pPr>
      <w:bookmarkStart w:id="18" w:name="_Ref27135961"/>
      <w:bookmarkStart w:id="19" w:name="_Ref27152630"/>
      <w:bookmarkStart w:id="20" w:name="_Toc27154773"/>
      <w:bookmarkStart w:id="21" w:name="_Toc31904516"/>
      <w:bookmarkStart w:id="22" w:name="_Ref27069234"/>
      <w:bookmarkStart w:id="23" w:name="_Ref27129770"/>
      <w:r>
        <w:rPr>
          <w:sz w:val="20"/>
          <w:szCs w:val="20"/>
        </w:rPr>
        <w:t xml:space="preserve">Data </w:t>
      </w:r>
      <w:bookmarkEnd w:id="18"/>
      <w:r>
        <w:rPr>
          <w:sz w:val="20"/>
          <w:szCs w:val="20"/>
        </w:rPr>
        <w:t>Processing Terms</w:t>
      </w:r>
      <w:bookmarkEnd w:id="19"/>
      <w:bookmarkEnd w:id="20"/>
      <w:bookmarkEnd w:id="21"/>
    </w:p>
    <w:p w:rsidR="00A053D1" w:rsidRDefault="007B0A2E">
      <w:pPr>
        <w:pStyle w:val="Sectiontitle"/>
        <w:rPr>
          <w:sz w:val="20"/>
          <w:szCs w:val="20"/>
        </w:rPr>
      </w:pPr>
      <w:bookmarkStart w:id="24" w:name="_Toc27154774"/>
      <w:bookmarkStart w:id="25" w:name="_Toc31904517"/>
      <w:bookmarkStart w:id="26" w:name="_Ref518993485"/>
      <w:r>
        <w:rPr>
          <w:sz w:val="20"/>
          <w:szCs w:val="20"/>
        </w:rPr>
        <w:t>Supply of Data</w:t>
      </w:r>
      <w:bookmarkEnd w:id="24"/>
      <w:bookmarkEnd w:id="25"/>
      <w:r>
        <w:rPr>
          <w:sz w:val="20"/>
          <w:szCs w:val="20"/>
        </w:rPr>
        <w:t xml:space="preserve">  </w:t>
      </w:r>
    </w:p>
    <w:p w:rsidR="00A053D1" w:rsidRDefault="007B0A2E">
      <w:pPr>
        <w:pStyle w:val="Heading1"/>
        <w:rPr>
          <w:sz w:val="20"/>
          <w:szCs w:val="20"/>
        </w:rPr>
      </w:pPr>
      <w:r>
        <w:rPr>
          <w:sz w:val="20"/>
          <w:szCs w:val="20"/>
        </w:rPr>
        <w:t xml:space="preserve">Provider shall provide the </w:t>
      </w:r>
      <w:r>
        <w:rPr>
          <w:sz w:val="20"/>
          <w:szCs w:val="20"/>
          <w:lang w:val="en-GB"/>
        </w:rPr>
        <w:t>Data to the BioMedIT Node, or make the Data available to it, in the form and as specified in App</w:t>
      </w:r>
      <w:r>
        <w:rPr>
          <w:sz w:val="20"/>
          <w:szCs w:val="20"/>
          <w:lang w:val="en-GB"/>
        </w:rPr>
        <w:t xml:space="preserve">endix 1. </w:t>
      </w:r>
    </w:p>
    <w:p w:rsidR="00A053D1" w:rsidRDefault="007B0A2E">
      <w:pPr>
        <w:pStyle w:val="Sectiontitle"/>
        <w:rPr>
          <w:sz w:val="20"/>
          <w:szCs w:val="20"/>
        </w:rPr>
      </w:pPr>
      <w:bookmarkStart w:id="27" w:name="_Toc27154775"/>
      <w:bookmarkStart w:id="28" w:name="_Toc31904518"/>
      <w:r>
        <w:rPr>
          <w:sz w:val="20"/>
          <w:szCs w:val="20"/>
        </w:rPr>
        <w:t>Scope of Processing</w:t>
      </w:r>
      <w:bookmarkEnd w:id="27"/>
      <w:bookmarkEnd w:id="28"/>
    </w:p>
    <w:p w:rsidR="00A053D1" w:rsidRDefault="007B0A2E">
      <w:pPr>
        <w:pStyle w:val="Sectionparagraph"/>
        <w:rPr>
          <w:sz w:val="20"/>
        </w:rPr>
      </w:pPr>
      <w:r>
        <w:rPr>
          <w:sz w:val="20"/>
          <w:u w:val="single"/>
        </w:rPr>
        <w:t xml:space="preserve">In </w:t>
      </w:r>
      <w:proofErr w:type="gramStart"/>
      <w:r>
        <w:rPr>
          <w:sz w:val="20"/>
          <w:u w:val="single"/>
        </w:rPr>
        <w:t>General</w:t>
      </w:r>
      <w:proofErr w:type="gramEnd"/>
      <w:r>
        <w:rPr>
          <w:sz w:val="20"/>
        </w:rPr>
        <w:t>. The Parties acknowledge and agree that:</w:t>
      </w:r>
      <w:bookmarkEnd w:id="26"/>
    </w:p>
    <w:p w:rsidR="00A053D1" w:rsidRDefault="007B0A2E">
      <w:pPr>
        <w:pStyle w:val="Letterlist"/>
        <w:rPr>
          <w:sz w:val="20"/>
        </w:rPr>
      </w:pPr>
      <w:bookmarkStart w:id="29" w:name="_Ref518993486"/>
      <w:r>
        <w:rPr>
          <w:sz w:val="20"/>
        </w:rPr>
        <w:lastRenderedPageBreak/>
        <w:t>the subject matter and details of the processing are specified in this Agreement and its Appendix 1</w:t>
      </w:r>
      <w:bookmarkEnd w:id="29"/>
      <w:r>
        <w:rPr>
          <w:sz w:val="20"/>
        </w:rPr>
        <w:t>;</w:t>
      </w:r>
    </w:p>
    <w:p w:rsidR="00A053D1" w:rsidRDefault="007B0A2E">
      <w:pPr>
        <w:pStyle w:val="Letterlist"/>
        <w:rPr>
          <w:sz w:val="20"/>
        </w:rPr>
      </w:pPr>
      <w:r>
        <w:rPr>
          <w:sz w:val="20"/>
        </w:rPr>
        <w:t>the BioMedIT Node is a Processor of the Data;</w:t>
      </w:r>
    </w:p>
    <w:p w:rsidR="00A053D1" w:rsidRDefault="007B0A2E">
      <w:pPr>
        <w:pStyle w:val="Letterlist"/>
        <w:rPr>
          <w:sz w:val="20"/>
        </w:rPr>
      </w:pPr>
      <w:r>
        <w:rPr>
          <w:sz w:val="20"/>
        </w:rPr>
        <w:t xml:space="preserve">Provider is a Controller of the Data; </w:t>
      </w:r>
    </w:p>
    <w:p w:rsidR="00A053D1" w:rsidRDefault="007B0A2E">
      <w:pPr>
        <w:pStyle w:val="Letterlist"/>
        <w:rPr>
          <w:sz w:val="20"/>
        </w:rPr>
      </w:pPr>
      <w:r>
        <w:rPr>
          <w:sz w:val="20"/>
        </w:rPr>
        <w:t>any Recipient to which Data is transferred under this Agreement shall be deemed Controller;</w:t>
      </w:r>
    </w:p>
    <w:p w:rsidR="00A053D1" w:rsidRDefault="007B0A2E">
      <w:pPr>
        <w:pStyle w:val="Letterlist"/>
        <w:rPr>
          <w:sz w:val="20"/>
        </w:rPr>
      </w:pPr>
      <w:r>
        <w:rPr>
          <w:sz w:val="20"/>
        </w:rPr>
        <w:t>each Party shall comply with its obligations under any applicable laws with regard to the processing of the Data (including d</w:t>
      </w:r>
      <w:r>
        <w:rPr>
          <w:sz w:val="20"/>
        </w:rPr>
        <w:t>ata protection laws, as well as laws, statutes and regulations concerning human research and personal data protection).</w:t>
      </w:r>
    </w:p>
    <w:p w:rsidR="00A053D1" w:rsidRDefault="007B0A2E">
      <w:pPr>
        <w:pStyle w:val="Sectionparagraph"/>
        <w:rPr>
          <w:sz w:val="20"/>
        </w:rPr>
      </w:pPr>
      <w:r>
        <w:rPr>
          <w:sz w:val="20"/>
          <w:u w:val="single"/>
        </w:rPr>
        <w:t>Nature and Purpose of Processing</w:t>
      </w:r>
      <w:r>
        <w:rPr>
          <w:sz w:val="20"/>
        </w:rPr>
        <w:t>. The BioMedIT Node shall process the Data on behalf of the Principals and solely for the purpose of pro</w:t>
      </w:r>
      <w:r>
        <w:rPr>
          <w:sz w:val="20"/>
        </w:rPr>
        <w:t>viding the Services or as otherwise expressly instructed by a MPOC or agreed with Provider. For the sake of clarity, the BioMedIT Node shall have no obligation to carry out any instruction which it considers, at its sole discretion, to be unlawful, ambiguo</w:t>
      </w:r>
      <w:r>
        <w:rPr>
          <w:sz w:val="20"/>
        </w:rPr>
        <w:t>us, doubtful or unclear (in which case the Parties shall collaborate in good faith to find a solution agreeable to all).</w:t>
      </w:r>
    </w:p>
    <w:p w:rsidR="00A053D1" w:rsidRDefault="007B0A2E">
      <w:pPr>
        <w:pStyle w:val="Sectionparagraph"/>
        <w:rPr>
          <w:sz w:val="20"/>
        </w:rPr>
      </w:pPr>
      <w:r>
        <w:rPr>
          <w:sz w:val="20"/>
          <w:u w:val="single"/>
        </w:rPr>
        <w:t>Restrictions</w:t>
      </w:r>
      <w:r>
        <w:rPr>
          <w:sz w:val="20"/>
        </w:rPr>
        <w:t>. The BioMedIT Node shall not, without the prior written consent of Provider:</w:t>
      </w:r>
    </w:p>
    <w:p w:rsidR="00A053D1" w:rsidRDefault="007B0A2E">
      <w:pPr>
        <w:pStyle w:val="Letterlist"/>
        <w:rPr>
          <w:sz w:val="20"/>
        </w:rPr>
      </w:pPr>
      <w:bookmarkStart w:id="30" w:name="_Ref27128752"/>
      <w:r>
        <w:rPr>
          <w:sz w:val="20"/>
        </w:rPr>
        <w:t>subcontract any of their processing operation</w:t>
      </w:r>
      <w:r>
        <w:rPr>
          <w:sz w:val="20"/>
        </w:rPr>
        <w:t>s of the Data; and</w:t>
      </w:r>
    </w:p>
    <w:p w:rsidR="00A053D1" w:rsidRDefault="007B0A2E">
      <w:pPr>
        <w:pStyle w:val="Letterlist"/>
        <w:rPr>
          <w:sz w:val="20"/>
        </w:rPr>
      </w:pPr>
      <w:r>
        <w:rPr>
          <w:sz w:val="20"/>
        </w:rPr>
        <w:t>transfer the Data in any country outside Switzerland (it being agreed that the Data may be accessed and processed by Principals outside Switzerland, in which case Provider shall be responsible for compliance with any applicable data prot</w:t>
      </w:r>
      <w:r>
        <w:rPr>
          <w:sz w:val="20"/>
        </w:rPr>
        <w:t xml:space="preserve">ection obligation). </w:t>
      </w:r>
    </w:p>
    <w:p w:rsidR="00A053D1" w:rsidRDefault="007B0A2E">
      <w:pPr>
        <w:pStyle w:val="Sectionparagraph"/>
        <w:rPr>
          <w:sz w:val="20"/>
        </w:rPr>
      </w:pPr>
      <w:r>
        <w:rPr>
          <w:sz w:val="20"/>
          <w:u w:val="single"/>
        </w:rPr>
        <w:t>Return of Data</w:t>
      </w:r>
      <w:r>
        <w:rPr>
          <w:sz w:val="20"/>
        </w:rPr>
        <w:t>. Upon termination of the Agreement, or earlier as requested by Provider, the BioMedIT Node shall, within reasonable time following a written request by Provider, provide Provider with a final extract of the Data and perm</w:t>
      </w:r>
      <w:r>
        <w:rPr>
          <w:sz w:val="20"/>
        </w:rPr>
        <w:t>anently delete all copies of such Data still under its control. In any case, the BioMedIT Node shall be allowed to permanently delete the Data 60 days after termination of the Agreement.</w:t>
      </w:r>
    </w:p>
    <w:p w:rsidR="00A053D1" w:rsidRDefault="007B0A2E">
      <w:pPr>
        <w:pStyle w:val="Sectiontitle"/>
        <w:rPr>
          <w:color w:val="EEA63D"/>
          <w:sz w:val="20"/>
          <w:szCs w:val="20"/>
        </w:rPr>
      </w:pPr>
      <w:bookmarkStart w:id="31" w:name="_Toc27154776"/>
      <w:bookmarkStart w:id="32" w:name="_Toc31904519"/>
      <w:r>
        <w:rPr>
          <w:sz w:val="20"/>
          <w:szCs w:val="20"/>
        </w:rPr>
        <w:t>Security</w:t>
      </w:r>
      <w:bookmarkEnd w:id="30"/>
      <w:bookmarkEnd w:id="31"/>
      <w:bookmarkEnd w:id="32"/>
    </w:p>
    <w:p w:rsidR="00A053D1" w:rsidRDefault="007B0A2E">
      <w:pPr>
        <w:pStyle w:val="Sectionparagraph"/>
        <w:rPr>
          <w:color w:val="000000"/>
          <w:sz w:val="20"/>
          <w:lang w:val="en-US"/>
        </w:rPr>
      </w:pPr>
      <w:bookmarkStart w:id="33" w:name="_Ref27127896"/>
      <w:r>
        <w:rPr>
          <w:sz w:val="20"/>
          <w:u w:val="single"/>
        </w:rPr>
        <w:t>Security Requirements</w:t>
      </w:r>
      <w:r>
        <w:rPr>
          <w:sz w:val="20"/>
        </w:rPr>
        <w:t xml:space="preserve">. Each Party </w:t>
      </w:r>
      <w:proofErr w:type="gramStart"/>
      <w:r>
        <w:rPr>
          <w:sz w:val="20"/>
        </w:rPr>
        <w:t>processing</w:t>
      </w:r>
      <w:proofErr w:type="gramEnd"/>
      <w:r>
        <w:rPr>
          <w:sz w:val="20"/>
        </w:rPr>
        <w:t xml:space="preserve"> Data shall do s</w:t>
      </w:r>
      <w:r>
        <w:rPr>
          <w:sz w:val="20"/>
        </w:rPr>
        <w:t>o in a manner that ensures appropriate security of the Data, including protection against unauthorized or unlawful processing and against accidental loss, destruction or damage, using appropriate technical or organizational measures (‘integrity and confide</w:t>
      </w:r>
      <w:r>
        <w:rPr>
          <w:sz w:val="20"/>
        </w:rPr>
        <w:t>ntiality’). Data processing shall comply with the “</w:t>
      </w:r>
      <w:r>
        <w:rPr>
          <w:i/>
          <w:sz w:val="20"/>
        </w:rPr>
        <w:t>Ethical Framework for Responsible Data Processing in Personalized Health Research</w:t>
      </w:r>
      <w:r>
        <w:rPr>
          <w:sz w:val="20"/>
        </w:rPr>
        <w:t>” and with the</w:t>
      </w:r>
      <w:r>
        <w:rPr>
          <w:i/>
          <w:sz w:val="20"/>
        </w:rPr>
        <w:t xml:space="preserve"> “SPHN Information Security Policy</w:t>
      </w:r>
      <w:r>
        <w:rPr>
          <w:sz w:val="20"/>
        </w:rPr>
        <w:t>”, as both updated occasionally, accessible at:</w:t>
      </w:r>
      <w:bookmarkEnd w:id="33"/>
    </w:p>
    <w:p w:rsidR="00A053D1" w:rsidRDefault="007B0A2E">
      <w:pPr>
        <w:pStyle w:val="Sectiontitle"/>
        <w:numPr>
          <w:ilvl w:val="0"/>
          <w:numId w:val="0"/>
        </w:numPr>
        <w:ind w:left="851"/>
        <w:rPr>
          <w:b w:val="0"/>
          <w:sz w:val="20"/>
          <w:szCs w:val="20"/>
        </w:rPr>
      </w:pPr>
      <w:hyperlink r:id="rId8" w:history="1">
        <w:r>
          <w:rPr>
            <w:rStyle w:val="Hyperlink"/>
            <w:b w:val="0"/>
            <w:sz w:val="20"/>
            <w:szCs w:val="20"/>
            <w:u w:val="none"/>
          </w:rPr>
          <w:t>https://sphn.ch/document/ethical-framework/</w:t>
        </w:r>
      </w:hyperlink>
    </w:p>
    <w:p w:rsidR="00A053D1" w:rsidRDefault="007B0A2E">
      <w:pPr>
        <w:pStyle w:val="Sectiontitle"/>
        <w:numPr>
          <w:ilvl w:val="0"/>
          <w:numId w:val="0"/>
        </w:numPr>
        <w:ind w:left="851"/>
        <w:rPr>
          <w:b w:val="0"/>
          <w:sz w:val="20"/>
          <w:szCs w:val="20"/>
        </w:rPr>
      </w:pPr>
      <w:hyperlink r:id="rId9" w:history="1">
        <w:r>
          <w:rPr>
            <w:rStyle w:val="Hyperlink"/>
            <w:b w:val="0"/>
            <w:sz w:val="20"/>
            <w:szCs w:val="20"/>
          </w:rPr>
          <w:t>https://sphn.ch/document/information-security-policy/</w:t>
        </w:r>
      </w:hyperlink>
    </w:p>
    <w:p w:rsidR="00A053D1" w:rsidRDefault="007B0A2E">
      <w:pPr>
        <w:pStyle w:val="Sectionparagraph"/>
        <w:numPr>
          <w:ilvl w:val="0"/>
          <w:numId w:val="0"/>
        </w:numPr>
        <w:ind w:left="851"/>
        <w:rPr>
          <w:color w:val="000000"/>
          <w:sz w:val="20"/>
        </w:rPr>
      </w:pPr>
      <w:r>
        <w:rPr>
          <w:color w:val="000000"/>
          <w:sz w:val="20"/>
        </w:rPr>
        <w:t>The BioMedIT Node shall comply with the Minimal S</w:t>
      </w:r>
      <w:r>
        <w:rPr>
          <w:color w:val="000000"/>
          <w:sz w:val="20"/>
        </w:rPr>
        <w:t xml:space="preserve">ecurity Requirements provided for in </w:t>
      </w:r>
      <w:r>
        <w:rPr>
          <w:b/>
          <w:color w:val="000000"/>
          <w:sz w:val="20"/>
        </w:rPr>
        <w:t>Appendix 2</w:t>
      </w:r>
      <w:r>
        <w:rPr>
          <w:color w:val="000000"/>
          <w:sz w:val="20"/>
        </w:rPr>
        <w:t xml:space="preserve">. </w:t>
      </w:r>
    </w:p>
    <w:p w:rsidR="00A053D1" w:rsidRDefault="007B0A2E">
      <w:pPr>
        <w:pStyle w:val="Sectionparagraph"/>
        <w:rPr>
          <w:sz w:val="20"/>
        </w:rPr>
      </w:pPr>
      <w:r>
        <w:rPr>
          <w:sz w:val="20"/>
          <w:u w:val="single"/>
        </w:rPr>
        <w:t>Security compliance</w:t>
      </w:r>
      <w:r>
        <w:rPr>
          <w:sz w:val="20"/>
        </w:rPr>
        <w:t>. Each Party shall take appropriate measures to ensure compliance with the above-mentioned security measures by its employees and subcontractors, in particular by ensuring that all person</w:t>
      </w:r>
      <w:r>
        <w:rPr>
          <w:sz w:val="20"/>
        </w:rPr>
        <w:t>s authorised to handle Data are committed to maintain confidentiality or are subject to an appropriate legal obligation of confidentiality.</w:t>
      </w:r>
    </w:p>
    <w:p w:rsidR="00A053D1" w:rsidRDefault="007B0A2E">
      <w:pPr>
        <w:pStyle w:val="Sectionparagraph"/>
        <w:numPr>
          <w:ilvl w:val="0"/>
          <w:numId w:val="0"/>
        </w:numPr>
        <w:ind w:left="851"/>
        <w:rPr>
          <w:sz w:val="20"/>
        </w:rPr>
      </w:pPr>
      <w:r>
        <w:rPr>
          <w:sz w:val="20"/>
          <w:u w:val="single"/>
        </w:rPr>
        <w:t>Security Incidents</w:t>
      </w:r>
      <w:r>
        <w:rPr>
          <w:sz w:val="20"/>
        </w:rPr>
        <w:t xml:space="preserve">. </w:t>
      </w:r>
      <w:r>
        <w:rPr>
          <w:color w:val="000000"/>
          <w:sz w:val="20"/>
        </w:rPr>
        <w:t>The BioMedIT Node agrees to immediately report, by any useful means (in particular via the MPOC)</w:t>
      </w:r>
      <w:r>
        <w:rPr>
          <w:color w:val="000000"/>
          <w:sz w:val="20"/>
        </w:rPr>
        <w:t>, (</w:t>
      </w:r>
      <w:proofErr w:type="spellStart"/>
      <w:r>
        <w:rPr>
          <w:color w:val="000000"/>
          <w:sz w:val="20"/>
        </w:rPr>
        <w:t>i</w:t>
      </w:r>
      <w:proofErr w:type="spellEnd"/>
      <w:r>
        <w:rPr>
          <w:color w:val="000000"/>
          <w:sz w:val="20"/>
        </w:rPr>
        <w:t xml:space="preserve">) any actual or suspected data protection breach, including a breach against applicable data protection regulation, data protection section of this </w:t>
      </w:r>
      <w:r>
        <w:rPr>
          <w:color w:val="000000"/>
          <w:sz w:val="20"/>
        </w:rPr>
        <w:lastRenderedPageBreak/>
        <w:t xml:space="preserve">Agreement, or any </w:t>
      </w:r>
      <w:r>
        <w:rPr>
          <w:sz w:val="20"/>
        </w:rPr>
        <w:t>accidental or unauthorized access to the Data</w:t>
      </w:r>
      <w:r>
        <w:rPr>
          <w:color w:val="000000"/>
          <w:sz w:val="20"/>
        </w:rPr>
        <w:t xml:space="preserve"> (ii) any actual or suspected impairment </w:t>
      </w:r>
      <w:r>
        <w:rPr>
          <w:color w:val="000000"/>
          <w:sz w:val="20"/>
        </w:rPr>
        <w:t xml:space="preserve">or inadequacy of the BioMedIT Node in fulfilling data protection section of this Agreement, and (iii) any application to receive or any actual access to data by an authority, unless such reporting is not admissible under statutory provisions for important </w:t>
      </w:r>
      <w:r>
        <w:rPr>
          <w:color w:val="000000"/>
          <w:sz w:val="20"/>
        </w:rPr>
        <w:t>reasons of public interest.</w:t>
      </w:r>
    </w:p>
    <w:p w:rsidR="00A053D1" w:rsidRDefault="007B0A2E">
      <w:pPr>
        <w:pStyle w:val="Sectionparagraph"/>
        <w:numPr>
          <w:ilvl w:val="0"/>
          <w:numId w:val="0"/>
        </w:numPr>
        <w:ind w:left="851"/>
        <w:rPr>
          <w:sz w:val="20"/>
        </w:rPr>
      </w:pPr>
      <w:r>
        <w:rPr>
          <w:sz w:val="20"/>
        </w:rPr>
        <w:t>In case of accidental or unauthorized access to the Data, the BioMedIT Node inform Provider as soon as possible by any useful means (in particular via the MPOC). The BioMedIT Node shall, to the extent possible, describe the natu</w:t>
      </w:r>
      <w:r>
        <w:rPr>
          <w:sz w:val="20"/>
        </w:rPr>
        <w:t>re of the security incident, as well as any measures taken by it to mitigate potential risks and the measures that it recommends Provider and/or Recipient to take. Provider shall be responsible for complying with the legal provisions applicable to it, in p</w:t>
      </w:r>
      <w:r>
        <w:rPr>
          <w:sz w:val="20"/>
        </w:rPr>
        <w:t>articular any obligations of Provider to provide a notification of the incident to any competent authority and/or the Data Subjects. In this context, the BioMedIT Node shall provide Provider with any assistance reasonably required by Provider in order to c</w:t>
      </w:r>
      <w:r>
        <w:rPr>
          <w:sz w:val="20"/>
        </w:rPr>
        <w:t>omply with its obligations.</w:t>
      </w:r>
    </w:p>
    <w:p w:rsidR="00A053D1" w:rsidRDefault="007B0A2E">
      <w:pPr>
        <w:pStyle w:val="Sectiontitle"/>
        <w:rPr>
          <w:sz w:val="20"/>
          <w:szCs w:val="20"/>
        </w:rPr>
      </w:pPr>
      <w:bookmarkStart w:id="34" w:name="_Toc27154777"/>
      <w:bookmarkStart w:id="35" w:name="_Toc31904520"/>
      <w:r>
        <w:rPr>
          <w:sz w:val="20"/>
          <w:szCs w:val="20"/>
        </w:rPr>
        <w:t>Representations and Warranties</w:t>
      </w:r>
      <w:bookmarkEnd w:id="34"/>
      <w:bookmarkEnd w:id="35"/>
    </w:p>
    <w:p w:rsidR="00A053D1" w:rsidRDefault="007B0A2E">
      <w:pPr>
        <w:pStyle w:val="Sectionparagraph"/>
        <w:numPr>
          <w:ilvl w:val="0"/>
          <w:numId w:val="0"/>
        </w:numPr>
        <w:ind w:left="851"/>
        <w:rPr>
          <w:sz w:val="20"/>
        </w:rPr>
      </w:pPr>
      <w:r>
        <w:rPr>
          <w:sz w:val="20"/>
        </w:rPr>
        <w:t>Provider represents and warrants that:</w:t>
      </w:r>
    </w:p>
    <w:p w:rsidR="00A053D1" w:rsidRDefault="007B0A2E">
      <w:pPr>
        <w:pStyle w:val="Letterlist"/>
        <w:rPr>
          <w:sz w:val="20"/>
        </w:rPr>
      </w:pPr>
      <w:r>
        <w:rPr>
          <w:sz w:val="20"/>
        </w:rPr>
        <w:t>the Data has been collected, transferred and processed in accordance with the requirements of all applicable laws, rules and regulations, including all applicable data protection laws and regulations;</w:t>
      </w:r>
    </w:p>
    <w:p w:rsidR="00A053D1" w:rsidRDefault="007B0A2E">
      <w:pPr>
        <w:pStyle w:val="Letterlist"/>
        <w:rPr>
          <w:sz w:val="20"/>
        </w:rPr>
      </w:pPr>
      <w:r>
        <w:rPr>
          <w:sz w:val="20"/>
        </w:rPr>
        <w:t>the transfer to the BioMedIT Node and the processing of</w:t>
      </w:r>
      <w:r>
        <w:rPr>
          <w:sz w:val="20"/>
        </w:rPr>
        <w:t xml:space="preserve"> the Data by the BioMedIT Node (including any further transfer to Recipients) as set forth in this Agreement is (</w:t>
      </w:r>
      <w:proofErr w:type="spellStart"/>
      <w:r>
        <w:rPr>
          <w:sz w:val="20"/>
        </w:rPr>
        <w:t>i</w:t>
      </w:r>
      <w:proofErr w:type="spellEnd"/>
      <w:r>
        <w:rPr>
          <w:sz w:val="20"/>
        </w:rPr>
        <w:t>) admissible under all applicable laws, rules and regulations and (ii) is not prohibited by a statutory or contractual duty of confidentiality</w:t>
      </w:r>
      <w:r>
        <w:rPr>
          <w:sz w:val="20"/>
        </w:rPr>
        <w:t>;</w:t>
      </w:r>
    </w:p>
    <w:p w:rsidR="00A053D1" w:rsidRDefault="007B0A2E">
      <w:pPr>
        <w:pStyle w:val="Letterlist"/>
        <w:rPr>
          <w:sz w:val="20"/>
        </w:rPr>
      </w:pPr>
      <w:r>
        <w:rPr>
          <w:sz w:val="20"/>
        </w:rPr>
        <w:t>prior to any collection, transfer, and processing of personal data contained in the Data, Provider has provided to the concerned Data Subjects all required information (including in relation to any processing activity contemplated under this Agreement) a</w:t>
      </w:r>
      <w:r>
        <w:rPr>
          <w:sz w:val="20"/>
        </w:rPr>
        <w:t>nd has complied with any notification and registration obligations under any applicable laws and regulations;</w:t>
      </w:r>
    </w:p>
    <w:p w:rsidR="00A053D1" w:rsidRDefault="007B0A2E">
      <w:pPr>
        <w:pStyle w:val="Letterlist"/>
        <w:rPr>
          <w:sz w:val="20"/>
        </w:rPr>
      </w:pPr>
      <w:r>
        <w:rPr>
          <w:sz w:val="20"/>
        </w:rPr>
        <w:t>Provider will not require the BioMedIT Node to undertake a processing of Data that Provider would not be permitted to carry out itself.</w:t>
      </w:r>
    </w:p>
    <w:p w:rsidR="00A053D1" w:rsidRDefault="007B0A2E">
      <w:pPr>
        <w:pStyle w:val="Letterlist"/>
        <w:rPr>
          <w:sz w:val="20"/>
        </w:rPr>
      </w:pPr>
      <w:r>
        <w:rPr>
          <w:sz w:val="20"/>
        </w:rPr>
        <w:t>Provider h</w:t>
      </w:r>
      <w:r>
        <w:rPr>
          <w:sz w:val="20"/>
        </w:rPr>
        <w:t>as and will verify that the technical and organizational measures, as required by all applicable laws, rules and regulations, undertaken by the BioMedIT Node, in particular with the Appendix 2, the “Ethical Framework for Responsible Data Processing in SPHN</w:t>
      </w:r>
      <w:r>
        <w:rPr>
          <w:sz w:val="20"/>
        </w:rPr>
        <w:t xml:space="preserve">” and the “SPHN Information Security Policy” (see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rPr>
        <w:t xml:space="preserve">), are sufficient to protect the Data from any unauthorized processing. Provider warrants that the technical and organizational measures set forth in </w:t>
      </w:r>
      <w:r>
        <w:rPr>
          <w:sz w:val="20"/>
          <w:u w:val="single"/>
        </w:rPr>
        <w:t xml:space="preserve">Section </w:t>
      </w:r>
      <w:r>
        <w:rPr>
          <w:sz w:val="20"/>
          <w:u w:val="single"/>
        </w:rPr>
        <w:fldChar w:fldCharType="begin"/>
      </w:r>
      <w:r>
        <w:rPr>
          <w:sz w:val="20"/>
          <w:u w:val="single"/>
        </w:rPr>
        <w:instrText xml:space="preserve"> REF _Ref27152630 \r \h  \* MERGEFORMAT </w:instrText>
      </w:r>
      <w:r>
        <w:rPr>
          <w:sz w:val="20"/>
          <w:u w:val="single"/>
        </w:rPr>
      </w:r>
      <w:r>
        <w:rPr>
          <w:sz w:val="20"/>
          <w:u w:val="single"/>
        </w:rPr>
        <w:fldChar w:fldCharType="separate"/>
      </w:r>
      <w:r>
        <w:rPr>
          <w:sz w:val="20"/>
          <w:u w:val="single"/>
        </w:rPr>
        <w:t>III</w:t>
      </w:r>
      <w:r>
        <w:rPr>
          <w:sz w:val="20"/>
          <w:u w:val="single"/>
        </w:rPr>
        <w:fldChar w:fldCharType="end"/>
      </w:r>
      <w:r>
        <w:rPr>
          <w:sz w:val="20"/>
          <w:u w:val="single"/>
        </w:rPr>
        <w:t>.</w:t>
      </w:r>
      <w:r>
        <w:rPr>
          <w:sz w:val="20"/>
          <w:u w:val="single"/>
        </w:rPr>
        <w:fldChar w:fldCharType="begin"/>
      </w:r>
      <w:r>
        <w:rPr>
          <w:sz w:val="20"/>
          <w:u w:val="single"/>
        </w:rPr>
        <w:instrText xml:space="preserve"> REF _Ref27127896 \r \h  \* MERGEFORMAT </w:instrText>
      </w:r>
      <w:r>
        <w:rPr>
          <w:sz w:val="20"/>
          <w:u w:val="single"/>
        </w:rPr>
      </w:r>
      <w:r>
        <w:rPr>
          <w:sz w:val="20"/>
          <w:u w:val="single"/>
        </w:rPr>
        <w:fldChar w:fldCharType="separate"/>
      </w:r>
      <w:r>
        <w:rPr>
          <w:sz w:val="20"/>
          <w:u w:val="single"/>
        </w:rPr>
        <w:t>8.1</w:t>
      </w:r>
      <w:r>
        <w:rPr>
          <w:sz w:val="20"/>
          <w:u w:val="single"/>
        </w:rPr>
        <w:fldChar w:fldCharType="end"/>
      </w:r>
      <w:r>
        <w:rPr>
          <w:sz w:val="20"/>
          <w:u w:val="single"/>
        </w:rPr>
        <w:t xml:space="preserve"> </w:t>
      </w:r>
      <w:r>
        <w:rPr>
          <w:sz w:val="20"/>
        </w:rPr>
        <w:t xml:space="preserve">are sufficient in this regard. </w:t>
      </w:r>
    </w:p>
    <w:p w:rsidR="00A053D1" w:rsidRDefault="007B0A2E">
      <w:pPr>
        <w:pStyle w:val="Sectiontitle"/>
        <w:rPr>
          <w:sz w:val="20"/>
          <w:szCs w:val="20"/>
        </w:rPr>
      </w:pPr>
      <w:bookmarkStart w:id="36" w:name="_Toc27154778"/>
      <w:bookmarkStart w:id="37" w:name="_Toc31904521"/>
      <w:r>
        <w:rPr>
          <w:sz w:val="20"/>
          <w:szCs w:val="20"/>
        </w:rPr>
        <w:t>Information, Assistance and Notifications</w:t>
      </w:r>
      <w:bookmarkEnd w:id="36"/>
      <w:bookmarkEnd w:id="37"/>
    </w:p>
    <w:p w:rsidR="00A053D1" w:rsidRDefault="007B0A2E">
      <w:pPr>
        <w:pStyle w:val="Sectionparagraph"/>
        <w:rPr>
          <w:sz w:val="20"/>
        </w:rPr>
      </w:pPr>
      <w:r>
        <w:rPr>
          <w:sz w:val="20"/>
          <w:u w:val="single"/>
        </w:rPr>
        <w:t>Compliance</w:t>
      </w:r>
      <w:r>
        <w:rPr>
          <w:sz w:val="20"/>
        </w:rPr>
        <w:t>. Each Party shall provide t</w:t>
      </w:r>
      <w:r>
        <w:rPr>
          <w:sz w:val="20"/>
        </w:rPr>
        <w:t xml:space="preserve">he other Party with all the necessary information so that it can demonstrate compliance with its obligations under the applicable data protection legislation. </w:t>
      </w:r>
    </w:p>
    <w:p w:rsidR="00A053D1" w:rsidRDefault="007B0A2E">
      <w:pPr>
        <w:pStyle w:val="Sectionparagraph"/>
        <w:rPr>
          <w:sz w:val="20"/>
        </w:rPr>
      </w:pPr>
      <w:r>
        <w:rPr>
          <w:sz w:val="20"/>
          <w:u w:val="single"/>
        </w:rPr>
        <w:t>Requests from data subjects</w:t>
      </w:r>
      <w:r>
        <w:rPr>
          <w:sz w:val="20"/>
        </w:rPr>
        <w:t xml:space="preserve">. Provider shall be responsible for the handling of any Data Subject </w:t>
      </w:r>
      <w:r>
        <w:rPr>
          <w:sz w:val="20"/>
        </w:rPr>
        <w:t xml:space="preserve">request and to provide Data Subjects with their right in accordance with data protection laws. If the BioMedIT Node receives a request from a Data Subject, it shall direct the Data Subject to submit its request to Provider and shall assist Provider in the </w:t>
      </w:r>
      <w:r>
        <w:rPr>
          <w:sz w:val="20"/>
        </w:rPr>
        <w:t>handling of such request, as may be reasonably required.</w:t>
      </w:r>
    </w:p>
    <w:p w:rsidR="00A053D1" w:rsidRDefault="007B0A2E">
      <w:pPr>
        <w:pStyle w:val="Sectionparagraph"/>
        <w:rPr>
          <w:sz w:val="20"/>
        </w:rPr>
      </w:pPr>
      <w:r>
        <w:rPr>
          <w:sz w:val="20"/>
          <w:u w:val="single"/>
        </w:rPr>
        <w:lastRenderedPageBreak/>
        <w:t>Impact assessments and prior consultation</w:t>
      </w:r>
      <w:r>
        <w:rPr>
          <w:sz w:val="20"/>
        </w:rPr>
        <w:t xml:space="preserve">. The BioMedIT Node undertakes, to the extent they can reasonably be expected to do so in light of the nature of the processing and the information available </w:t>
      </w:r>
      <w:r>
        <w:rPr>
          <w:sz w:val="20"/>
        </w:rPr>
        <w:t>to them, to assist the Principals in ensuring their compliance with their impact assessment, prior consultation and records of processing activities obligations (if any).</w:t>
      </w:r>
    </w:p>
    <w:p w:rsidR="00A053D1" w:rsidRDefault="007B0A2E">
      <w:pPr>
        <w:pStyle w:val="Sectionparagraph"/>
        <w:rPr>
          <w:sz w:val="20"/>
        </w:rPr>
      </w:pPr>
      <w:r>
        <w:rPr>
          <w:sz w:val="20"/>
          <w:u w:val="single"/>
        </w:rPr>
        <w:t>Notification and assistance</w:t>
      </w:r>
      <w:r>
        <w:rPr>
          <w:sz w:val="20"/>
        </w:rPr>
        <w:t>. The BioMedIT Node shall promptly inform, and cooperate w</w:t>
      </w:r>
      <w:r>
        <w:rPr>
          <w:sz w:val="20"/>
        </w:rPr>
        <w:t>ith, Provider if it considers that it may no longer be able, or is no longer able, to comply with this Agreement, particularly in case it receives or must reasonably expect to receive a request or order of a competent authority requiring it to disclose, or</w:t>
      </w:r>
      <w:r>
        <w:rPr>
          <w:sz w:val="20"/>
        </w:rPr>
        <w:t xml:space="preserve"> refrain from further processing, some or all personal Data to which this Agreement applies.</w:t>
      </w:r>
    </w:p>
    <w:p w:rsidR="00A053D1" w:rsidRDefault="007B0A2E">
      <w:pPr>
        <w:pStyle w:val="Sectionparagraph"/>
        <w:rPr>
          <w:sz w:val="20"/>
        </w:rPr>
      </w:pPr>
      <w:r>
        <w:rPr>
          <w:sz w:val="20"/>
          <w:u w:val="single"/>
        </w:rPr>
        <w:t>Audits</w:t>
      </w:r>
      <w:r>
        <w:rPr>
          <w:sz w:val="20"/>
        </w:rPr>
        <w:t xml:space="preserve">. The provisions of </w:t>
      </w:r>
      <w:r>
        <w:rPr>
          <w:b/>
          <w:bCs w:val="0"/>
          <w:sz w:val="20"/>
        </w:rPr>
        <w:t>Appendix 3</w:t>
      </w:r>
      <w:r>
        <w:rPr>
          <w:sz w:val="20"/>
        </w:rPr>
        <w:t xml:space="preserve"> shall apply regarding audits.</w:t>
      </w:r>
    </w:p>
    <w:p w:rsidR="00A053D1" w:rsidRDefault="007B0A2E">
      <w:pPr>
        <w:pStyle w:val="Sectiontitle"/>
        <w:rPr>
          <w:sz w:val="20"/>
          <w:szCs w:val="20"/>
        </w:rPr>
      </w:pPr>
      <w:bookmarkStart w:id="38" w:name="_Toc27154779"/>
      <w:bookmarkStart w:id="39" w:name="_Toc31904522"/>
      <w:r>
        <w:rPr>
          <w:sz w:val="20"/>
          <w:szCs w:val="20"/>
        </w:rPr>
        <w:t>Register of Processing Activities</w:t>
      </w:r>
      <w:bookmarkEnd w:id="38"/>
      <w:bookmarkEnd w:id="39"/>
    </w:p>
    <w:p w:rsidR="00A053D1" w:rsidRDefault="007B0A2E">
      <w:pPr>
        <w:pStyle w:val="Sectionparagraph"/>
        <w:rPr>
          <w:sz w:val="20"/>
        </w:rPr>
      </w:pPr>
      <w:r>
        <w:rPr>
          <w:sz w:val="20"/>
        </w:rPr>
        <w:t>Provider acknowledges that the BioMedIT Node may be required b</w:t>
      </w:r>
      <w:r>
        <w:rPr>
          <w:sz w:val="20"/>
        </w:rPr>
        <w:t xml:space="preserve">y the law to: </w:t>
      </w:r>
    </w:p>
    <w:p w:rsidR="00A053D1" w:rsidRDefault="007B0A2E">
      <w:pPr>
        <w:pStyle w:val="Letterlist"/>
        <w:rPr>
          <w:sz w:val="20"/>
        </w:rPr>
      </w:pPr>
      <w:r>
        <w:rPr>
          <w:sz w:val="20"/>
        </w:rPr>
        <w:t>collect and store certain information, including the name and contact details of each processor and/or controller with whom the BioMedIT Node act and, where applicable, the local representative of the controller and/or the data protection of</w:t>
      </w:r>
      <w:r>
        <w:rPr>
          <w:sz w:val="20"/>
        </w:rPr>
        <w:t>ficer as well as the categories of processing carried out; and</w:t>
      </w:r>
    </w:p>
    <w:p w:rsidR="00A053D1" w:rsidRDefault="007B0A2E">
      <w:pPr>
        <w:pStyle w:val="Letterlist"/>
        <w:rPr>
          <w:sz w:val="20"/>
        </w:rPr>
      </w:pPr>
      <w:r>
        <w:rPr>
          <w:sz w:val="20"/>
        </w:rPr>
        <w:t xml:space="preserve">make such information available to any competent authority. </w:t>
      </w:r>
    </w:p>
    <w:p w:rsidR="00A053D1" w:rsidRDefault="007B0A2E">
      <w:pPr>
        <w:pStyle w:val="Sectionparagraph"/>
        <w:rPr>
          <w:sz w:val="20"/>
        </w:rPr>
      </w:pPr>
      <w:r>
        <w:rPr>
          <w:sz w:val="20"/>
        </w:rPr>
        <w:t>Provider undertakes to provide the BioMedIT Node with all information reasonably necessary for the BioMedIT Node to meet its obligat</w:t>
      </w:r>
      <w:r>
        <w:rPr>
          <w:sz w:val="20"/>
        </w:rPr>
        <w:t>ions.</w:t>
      </w:r>
    </w:p>
    <w:p w:rsidR="00A053D1" w:rsidRDefault="007B0A2E">
      <w:pPr>
        <w:pStyle w:val="Heading2"/>
        <w:rPr>
          <w:sz w:val="20"/>
          <w:szCs w:val="20"/>
        </w:rPr>
      </w:pPr>
      <w:bookmarkStart w:id="40" w:name="_Ref27127891"/>
      <w:bookmarkStart w:id="41" w:name="_Toc27154780"/>
      <w:bookmarkStart w:id="42" w:name="_Ref33448352"/>
      <w:bookmarkStart w:id="43" w:name="_Toc31904523"/>
      <w:bookmarkEnd w:id="22"/>
      <w:bookmarkEnd w:id="23"/>
      <w:r>
        <w:rPr>
          <w:sz w:val="20"/>
          <w:szCs w:val="20"/>
        </w:rPr>
        <w:t xml:space="preserve">Data ownership, </w:t>
      </w:r>
      <w:bookmarkEnd w:id="40"/>
      <w:r>
        <w:rPr>
          <w:sz w:val="20"/>
          <w:szCs w:val="20"/>
        </w:rPr>
        <w:t>Intellectual Property, Confidentiality</w:t>
      </w:r>
      <w:bookmarkEnd w:id="41"/>
      <w:bookmarkEnd w:id="42"/>
      <w:bookmarkEnd w:id="43"/>
    </w:p>
    <w:p w:rsidR="00A053D1" w:rsidRDefault="007B0A2E">
      <w:pPr>
        <w:pStyle w:val="Sectiontitle"/>
        <w:rPr>
          <w:sz w:val="20"/>
          <w:szCs w:val="20"/>
        </w:rPr>
      </w:pPr>
      <w:bookmarkStart w:id="44" w:name="_Toc27154781"/>
      <w:bookmarkStart w:id="45" w:name="_Toc31904524"/>
      <w:r>
        <w:rPr>
          <w:sz w:val="20"/>
          <w:szCs w:val="20"/>
        </w:rPr>
        <w:t>Data Ownership and Right to Use</w:t>
      </w:r>
      <w:bookmarkEnd w:id="44"/>
      <w:bookmarkEnd w:id="45"/>
    </w:p>
    <w:p w:rsidR="00A053D1" w:rsidRDefault="007B0A2E">
      <w:pPr>
        <w:pStyle w:val="Sectionparagraph"/>
        <w:rPr>
          <w:sz w:val="20"/>
        </w:rPr>
      </w:pPr>
      <w:r>
        <w:rPr>
          <w:sz w:val="20"/>
          <w:u w:val="single"/>
        </w:rPr>
        <w:t>Ownership</w:t>
      </w:r>
      <w:r>
        <w:rPr>
          <w:sz w:val="20"/>
        </w:rPr>
        <w:t>. As between Provider and the BioMedIT Node, Data is and shall remain the sole and exclusive property of Provider and all right, title, and interest in th</w:t>
      </w:r>
      <w:r>
        <w:rPr>
          <w:sz w:val="20"/>
        </w:rPr>
        <w:t xml:space="preserve">e same (including any Intellectual Property Right) is reserved by Provider. Subject to </w:t>
      </w:r>
      <w:r w:rsidRPr="000664D4">
        <w:rPr>
          <w:sz w:val="20"/>
          <w:u w:val="single"/>
        </w:rPr>
        <w:t xml:space="preserve">Section </w:t>
      </w:r>
      <w:r w:rsidRPr="000664D4">
        <w:rPr>
          <w:sz w:val="20"/>
          <w:u w:val="single"/>
        </w:rPr>
        <w:fldChar w:fldCharType="begin"/>
      </w:r>
      <w:r w:rsidRPr="000664D4">
        <w:rPr>
          <w:sz w:val="20"/>
          <w:u w:val="single"/>
        </w:rPr>
        <w:instrText xml:space="preserve"> REF _Ref33448352 \r \h  \* MERGEFORMAT </w:instrText>
      </w:r>
      <w:r w:rsidRPr="000664D4">
        <w:rPr>
          <w:sz w:val="20"/>
          <w:u w:val="single"/>
        </w:rPr>
      </w:r>
      <w:r w:rsidRPr="000664D4">
        <w:rPr>
          <w:sz w:val="20"/>
          <w:u w:val="single"/>
        </w:rPr>
        <w:fldChar w:fldCharType="separate"/>
      </w:r>
      <w:r w:rsidRPr="000664D4">
        <w:rPr>
          <w:sz w:val="20"/>
          <w:u w:val="single"/>
        </w:rPr>
        <w:t>IV</w:t>
      </w:r>
      <w:r w:rsidRPr="000664D4">
        <w:rPr>
          <w:sz w:val="20"/>
          <w:u w:val="single"/>
        </w:rPr>
        <w:fldChar w:fldCharType="end"/>
      </w:r>
      <w:r>
        <w:rPr>
          <w:sz w:val="20"/>
          <w:u w:val="single"/>
        </w:rPr>
        <w:t>.</w:t>
      </w:r>
      <w:r w:rsidRPr="000664D4">
        <w:rPr>
          <w:sz w:val="20"/>
          <w:u w:val="single"/>
        </w:rPr>
        <w:t xml:space="preserve"> </w:t>
      </w:r>
      <w:r w:rsidRPr="000664D4">
        <w:rPr>
          <w:sz w:val="20"/>
          <w:u w:val="single"/>
        </w:rPr>
        <w:fldChar w:fldCharType="begin"/>
      </w:r>
      <w:r w:rsidRPr="000664D4">
        <w:rPr>
          <w:sz w:val="20"/>
          <w:u w:val="single"/>
        </w:rPr>
        <w:instrText xml:space="preserve"> REF _Ref18085389 \r \h  \* MERGEFORMAT </w:instrText>
      </w:r>
      <w:r w:rsidRPr="000664D4">
        <w:rPr>
          <w:sz w:val="20"/>
          <w:u w:val="single"/>
        </w:rPr>
      </w:r>
      <w:r w:rsidRPr="000664D4">
        <w:rPr>
          <w:sz w:val="20"/>
          <w:u w:val="single"/>
        </w:rPr>
        <w:fldChar w:fldCharType="separate"/>
      </w:r>
      <w:r w:rsidRPr="000664D4">
        <w:rPr>
          <w:sz w:val="20"/>
          <w:u w:val="single"/>
        </w:rPr>
        <w:t>12.2</w:t>
      </w:r>
      <w:r w:rsidRPr="000664D4">
        <w:rPr>
          <w:sz w:val="20"/>
          <w:u w:val="single"/>
        </w:rPr>
        <w:fldChar w:fldCharType="end"/>
      </w:r>
      <w:r>
        <w:rPr>
          <w:sz w:val="20"/>
        </w:rPr>
        <w:t xml:space="preserve">, nothing in this Agreement is intended to assign or grant the BioMedIT </w:t>
      </w:r>
      <w:proofErr w:type="spellStart"/>
      <w:r>
        <w:rPr>
          <w:sz w:val="20"/>
        </w:rPr>
        <w:t>Nodeany</w:t>
      </w:r>
      <w:proofErr w:type="spellEnd"/>
      <w:r>
        <w:rPr>
          <w:sz w:val="20"/>
        </w:rPr>
        <w:t xml:space="preserve"> Intellectual Property Rights or other rights in the Data.  </w:t>
      </w:r>
    </w:p>
    <w:p w:rsidR="00A053D1" w:rsidRDefault="007B0A2E">
      <w:pPr>
        <w:pStyle w:val="Sectionparagraph"/>
        <w:rPr>
          <w:sz w:val="20"/>
        </w:rPr>
      </w:pPr>
      <w:bookmarkStart w:id="46" w:name="_Ref18085389"/>
      <w:r>
        <w:rPr>
          <w:sz w:val="20"/>
          <w:u w:val="single"/>
        </w:rPr>
        <w:t>Use of Data</w:t>
      </w:r>
      <w:r>
        <w:rPr>
          <w:sz w:val="20"/>
        </w:rPr>
        <w:t>. Provider grants to the BioMedIT Node a r</w:t>
      </w:r>
      <w:r>
        <w:rPr>
          <w:sz w:val="20"/>
        </w:rPr>
        <w:t>ight to access and use the Data for the sole purpose of, and only to the extent necessary for, providing the Services, including a license to collect, process, store, generate, and display the Data</w:t>
      </w:r>
      <w:bookmarkEnd w:id="46"/>
      <w:r>
        <w:rPr>
          <w:sz w:val="20"/>
        </w:rPr>
        <w:t>.</w:t>
      </w:r>
    </w:p>
    <w:p w:rsidR="00A053D1" w:rsidRDefault="007B0A2E">
      <w:pPr>
        <w:pStyle w:val="Sectionparagraph"/>
        <w:rPr>
          <w:sz w:val="20"/>
        </w:rPr>
      </w:pPr>
      <w:r>
        <w:rPr>
          <w:sz w:val="20"/>
          <w:u w:val="single"/>
          <w:lang w:val="en-US"/>
        </w:rPr>
        <w:t xml:space="preserve">Acceptable Use Policy. </w:t>
      </w:r>
      <w:r>
        <w:rPr>
          <w:sz w:val="20"/>
          <w:lang w:val="en-US"/>
        </w:rPr>
        <w:t>Provider undertakes to comply with</w:t>
      </w:r>
      <w:r>
        <w:rPr>
          <w:sz w:val="20"/>
          <w:lang w:val="en-US"/>
        </w:rPr>
        <w:t xml:space="preserve"> the </w:t>
      </w:r>
      <w:r>
        <w:rPr>
          <w:i/>
          <w:sz w:val="20"/>
        </w:rPr>
        <w:t>Acceptable Use Policy</w:t>
      </w:r>
      <w:r>
        <w:rPr>
          <w:sz w:val="20"/>
        </w:rPr>
        <w:t xml:space="preserve"> </w:t>
      </w:r>
      <w:r>
        <w:rPr>
          <w:sz w:val="20"/>
          <w:lang w:val="en-US"/>
        </w:rPr>
        <w:t xml:space="preserve">specific to the BioMedIT Node. Provider also undertakes, within the framework of its agreements with the Recipient, to require the Recipient to comply with such regulations.  </w:t>
      </w:r>
    </w:p>
    <w:p w:rsidR="00A053D1" w:rsidRDefault="007B0A2E">
      <w:pPr>
        <w:pStyle w:val="Sectiontitle"/>
        <w:rPr>
          <w:sz w:val="20"/>
          <w:szCs w:val="20"/>
        </w:rPr>
      </w:pPr>
      <w:bookmarkStart w:id="47" w:name="_Toc27154782"/>
      <w:bookmarkStart w:id="48" w:name="_Toc31904526"/>
      <w:r>
        <w:rPr>
          <w:sz w:val="20"/>
          <w:szCs w:val="20"/>
        </w:rPr>
        <w:t>Confidentiality</w:t>
      </w:r>
      <w:bookmarkEnd w:id="47"/>
      <w:bookmarkEnd w:id="48"/>
    </w:p>
    <w:p w:rsidR="00A053D1" w:rsidRDefault="007B0A2E">
      <w:pPr>
        <w:pStyle w:val="Sectionparagraph"/>
        <w:rPr>
          <w:rStyle w:val="eop"/>
          <w:sz w:val="20"/>
        </w:rPr>
      </w:pPr>
      <w:r>
        <w:rPr>
          <w:rStyle w:val="normaltextrun"/>
          <w:sz w:val="20"/>
          <w:u w:val="single"/>
        </w:rPr>
        <w:t xml:space="preserve">In </w:t>
      </w:r>
      <w:proofErr w:type="gramStart"/>
      <w:r>
        <w:rPr>
          <w:rStyle w:val="normaltextrun"/>
          <w:sz w:val="20"/>
          <w:u w:val="single"/>
        </w:rPr>
        <w:t>General</w:t>
      </w:r>
      <w:proofErr w:type="gramEnd"/>
      <w:r>
        <w:rPr>
          <w:rStyle w:val="normaltextrun"/>
          <w:sz w:val="20"/>
        </w:rPr>
        <w:t xml:space="preserve">. </w:t>
      </w:r>
      <w:r>
        <w:rPr>
          <w:rStyle w:val="normaltextrun"/>
          <w:rFonts w:eastAsia="Calibri Light"/>
          <w:sz w:val="20"/>
        </w:rPr>
        <w:t>Without prejudice to special provisions or laws with regard to the processing of personal data, each</w:t>
      </w:r>
      <w:r>
        <w:rPr>
          <w:sz w:val="20"/>
        </w:rPr>
        <w:t xml:space="preserve"> Party shall treat the Confidential Information confidential for the duration of this Agreement, including any extension thereof, and thereafter for a perio</w:t>
      </w:r>
      <w:r>
        <w:rPr>
          <w:sz w:val="20"/>
        </w:rPr>
        <w:t>d of five (5) years following termination or expiry of this Agreement. Excluded from this obligation of confidentiality shall be any Confidential Information of which one Party can reasonably demonstrate that it (a) was previously known to them, or (b) is,</w:t>
      </w:r>
      <w:r>
        <w:rPr>
          <w:sz w:val="20"/>
        </w:rPr>
        <w:t xml:space="preserve"> and/or becomes, publicly available during said five (5) year period through no fault of a Party, or (c) is independently and lawfully developed by one Party.</w:t>
      </w:r>
    </w:p>
    <w:p w:rsidR="00A053D1" w:rsidRDefault="007B0A2E">
      <w:pPr>
        <w:pStyle w:val="Sectionparagraph"/>
        <w:rPr>
          <w:sz w:val="20"/>
        </w:rPr>
      </w:pPr>
      <w:r>
        <w:rPr>
          <w:sz w:val="20"/>
          <w:u w:val="single"/>
        </w:rPr>
        <w:t>Required disclosures</w:t>
      </w:r>
      <w:r>
        <w:rPr>
          <w:sz w:val="20"/>
        </w:rPr>
        <w:t>. This obligation of confidentiality shall not apply to any disclosure requir</w:t>
      </w:r>
      <w:r>
        <w:rPr>
          <w:sz w:val="20"/>
        </w:rPr>
        <w:t xml:space="preserve">ed by law, provided that the Party subject to the disclosure obligation shall notify the </w:t>
      </w:r>
      <w:r>
        <w:rPr>
          <w:sz w:val="20"/>
        </w:rPr>
        <w:lastRenderedPageBreak/>
        <w:t xml:space="preserve">other Party of any disclosure required by law in sufficient time so that they may contest such requirement, if they so choose. </w:t>
      </w:r>
    </w:p>
    <w:p w:rsidR="00A053D1" w:rsidRDefault="007B0A2E">
      <w:pPr>
        <w:pStyle w:val="Sectionparagraph"/>
        <w:rPr>
          <w:rStyle w:val="eop"/>
          <w:sz w:val="20"/>
        </w:rPr>
      </w:pPr>
      <w:r>
        <w:rPr>
          <w:sz w:val="20"/>
          <w:u w:val="single"/>
        </w:rPr>
        <w:t>Return</w:t>
      </w:r>
      <w:r>
        <w:rPr>
          <w:sz w:val="20"/>
        </w:rPr>
        <w:t xml:space="preserve">. Subject to mandatory law, upon </w:t>
      </w:r>
      <w:r>
        <w:rPr>
          <w:sz w:val="20"/>
        </w:rPr>
        <w:t xml:space="preserve">the expiration or termination of this Agreement for whatever reason, or at the earlier request of the concerned Party, the other Party to which Confidential Information has been disclosed shall, at its own costs, return or destroy all originals and copies </w:t>
      </w:r>
      <w:r>
        <w:rPr>
          <w:sz w:val="20"/>
        </w:rPr>
        <w:t xml:space="preserve">of </w:t>
      </w:r>
      <w:r>
        <w:rPr>
          <w:rStyle w:val="normaltextrun"/>
          <w:sz w:val="20"/>
        </w:rPr>
        <w:t>Confidential Information</w:t>
      </w:r>
      <w:r>
        <w:rPr>
          <w:sz w:val="20"/>
        </w:rPr>
        <w:t xml:space="preserve">, or, in case of </w:t>
      </w:r>
      <w:r>
        <w:rPr>
          <w:rStyle w:val="normaltextrun"/>
          <w:sz w:val="20"/>
        </w:rPr>
        <w:t>Confidential Information </w:t>
      </w:r>
      <w:r>
        <w:rPr>
          <w:sz w:val="20"/>
        </w:rPr>
        <w:t xml:space="preserve">stored in electronic, magnetic or digital media, shall erase or render unreadable all materials furnished (including without limitation, working papers containing any </w:t>
      </w:r>
      <w:r>
        <w:rPr>
          <w:rStyle w:val="normaltextrun"/>
          <w:sz w:val="20"/>
        </w:rPr>
        <w:t>Confidential Informa</w:t>
      </w:r>
      <w:r>
        <w:rPr>
          <w:rStyle w:val="normaltextrun"/>
          <w:sz w:val="20"/>
        </w:rPr>
        <w:t>tion </w:t>
      </w:r>
      <w:r>
        <w:rPr>
          <w:sz w:val="20"/>
        </w:rPr>
        <w:t xml:space="preserve"> or extracts therefrom) which contain </w:t>
      </w:r>
      <w:r>
        <w:rPr>
          <w:rStyle w:val="normaltextrun"/>
          <w:sz w:val="20"/>
        </w:rPr>
        <w:t>Confidential Information</w:t>
      </w:r>
      <w:r>
        <w:rPr>
          <w:sz w:val="20"/>
        </w:rPr>
        <w:t>.</w:t>
      </w:r>
    </w:p>
    <w:p w:rsidR="00A053D1" w:rsidRDefault="007B0A2E">
      <w:pPr>
        <w:pStyle w:val="Sectiontitle"/>
        <w:rPr>
          <w:sz w:val="20"/>
          <w:szCs w:val="20"/>
        </w:rPr>
      </w:pPr>
      <w:bookmarkStart w:id="49" w:name="_Toc27154783"/>
      <w:bookmarkStart w:id="50" w:name="_Ref507056940"/>
      <w:r>
        <w:rPr>
          <w:sz w:val="20"/>
          <w:szCs w:val="20"/>
        </w:rPr>
        <w:t xml:space="preserve">IP in BioMedIT </w:t>
      </w:r>
      <w:bookmarkEnd w:id="49"/>
      <w:r>
        <w:rPr>
          <w:sz w:val="20"/>
          <w:szCs w:val="20"/>
        </w:rPr>
        <w:t>Node</w:t>
      </w:r>
    </w:p>
    <w:p w:rsidR="00A053D1" w:rsidRDefault="007B0A2E">
      <w:pPr>
        <w:pStyle w:val="Heading1"/>
        <w:rPr>
          <w:sz w:val="20"/>
          <w:szCs w:val="20"/>
        </w:rPr>
      </w:pPr>
      <w:r>
        <w:rPr>
          <w:sz w:val="20"/>
          <w:szCs w:val="20"/>
        </w:rPr>
        <w:t>As between Provider and the BioMedIT Node, the BioMedIT Node shall be and remain the sole owner of all Intellectual Property Rights in and to the BioMedIT Node, as wel</w:t>
      </w:r>
      <w:r>
        <w:rPr>
          <w:sz w:val="20"/>
          <w:szCs w:val="20"/>
        </w:rPr>
        <w:t xml:space="preserve">l as any other infrastructure used to provide the Services. </w:t>
      </w:r>
      <w:bookmarkEnd w:id="50"/>
      <w:r>
        <w:rPr>
          <w:sz w:val="20"/>
          <w:szCs w:val="20"/>
        </w:rPr>
        <w:t>Nothing in this Agreement is intended to assign or grant Provider or any other Principal any Intellectual Property Rights or other rights of the BioMedIT Node.</w:t>
      </w:r>
    </w:p>
    <w:p w:rsidR="00A053D1" w:rsidRDefault="007B0A2E">
      <w:pPr>
        <w:pStyle w:val="Heading2"/>
        <w:rPr>
          <w:sz w:val="20"/>
          <w:szCs w:val="20"/>
        </w:rPr>
      </w:pPr>
      <w:bookmarkStart w:id="51" w:name="_Ref27136465"/>
      <w:bookmarkStart w:id="52" w:name="_Toc27154784"/>
      <w:bookmarkStart w:id="53" w:name="_Toc31904527"/>
      <w:r>
        <w:rPr>
          <w:sz w:val="20"/>
          <w:szCs w:val="20"/>
        </w:rPr>
        <w:t>Liability</w:t>
      </w:r>
      <w:bookmarkEnd w:id="51"/>
      <w:bookmarkEnd w:id="52"/>
      <w:bookmarkEnd w:id="53"/>
    </w:p>
    <w:p w:rsidR="00A053D1" w:rsidRDefault="007B0A2E">
      <w:pPr>
        <w:pStyle w:val="Sectiontitle"/>
        <w:rPr>
          <w:sz w:val="20"/>
          <w:szCs w:val="20"/>
        </w:rPr>
      </w:pPr>
      <w:bookmarkStart w:id="54" w:name="_Toc27154785"/>
      <w:bookmarkStart w:id="55" w:name="_Ref31819668"/>
      <w:bookmarkStart w:id="56" w:name="_Toc31904528"/>
      <w:r>
        <w:rPr>
          <w:sz w:val="20"/>
          <w:szCs w:val="20"/>
        </w:rPr>
        <w:t>Liabil</w:t>
      </w:r>
      <w:r>
        <w:rPr>
          <w:sz w:val="20"/>
          <w:szCs w:val="20"/>
        </w:rPr>
        <w:t>ity</w:t>
      </w:r>
      <w:bookmarkEnd w:id="54"/>
      <w:bookmarkEnd w:id="55"/>
      <w:bookmarkEnd w:id="56"/>
    </w:p>
    <w:p w:rsidR="00A053D1" w:rsidRDefault="007B0A2E">
      <w:pPr>
        <w:pStyle w:val="Sectionparagraph"/>
        <w:rPr>
          <w:sz w:val="20"/>
        </w:rPr>
      </w:pPr>
      <w:bookmarkStart w:id="57" w:name="_Ref31819516"/>
      <w:r>
        <w:rPr>
          <w:sz w:val="20"/>
        </w:rPr>
        <w:t xml:space="preserve">Subject to </w:t>
      </w:r>
      <w:r>
        <w:rPr>
          <w:sz w:val="20"/>
          <w:u w:val="single"/>
        </w:rPr>
        <w:t xml:space="preserve">Section </w:t>
      </w:r>
      <w:r>
        <w:rPr>
          <w:sz w:val="20"/>
          <w:u w:val="single"/>
        </w:rPr>
        <w:fldChar w:fldCharType="begin"/>
      </w:r>
      <w:r>
        <w:rPr>
          <w:sz w:val="20"/>
          <w:u w:val="single"/>
        </w:rPr>
        <w:instrText xml:space="preserve"> REF _Ref27136465 \r \h  \* MERGEFORMAT </w:instrText>
      </w:r>
      <w:r>
        <w:rPr>
          <w:sz w:val="20"/>
          <w:u w:val="single"/>
        </w:rPr>
      </w:r>
      <w:r w:rsidRPr="000664D4">
        <w:rPr>
          <w:sz w:val="20"/>
          <w:u w:val="single"/>
        </w:rPr>
        <w:fldChar w:fldCharType="separate"/>
      </w:r>
      <w:r>
        <w:rPr>
          <w:sz w:val="20"/>
          <w:u w:val="single"/>
        </w:rPr>
        <w:t>V</w:t>
      </w:r>
      <w:r>
        <w:rPr>
          <w:sz w:val="20"/>
          <w:u w:val="single"/>
        </w:rPr>
        <w:fldChar w:fldCharType="end"/>
      </w:r>
      <w:r>
        <w:rPr>
          <w:sz w:val="20"/>
          <w:u w:val="single"/>
        </w:rPr>
        <w:t>.</w:t>
      </w:r>
      <w:r>
        <w:rPr>
          <w:sz w:val="20"/>
          <w:u w:val="single"/>
        </w:rPr>
        <w:fldChar w:fldCharType="begin"/>
      </w:r>
      <w:r>
        <w:rPr>
          <w:sz w:val="20"/>
          <w:u w:val="single"/>
        </w:rPr>
        <w:instrText xml:space="preserve"> REF _Ref27136499 \r \h  \* MERGEFORMAT </w:instrText>
      </w:r>
      <w:r>
        <w:rPr>
          <w:sz w:val="20"/>
          <w:u w:val="single"/>
        </w:rPr>
      </w:r>
      <w:r w:rsidRPr="000664D4">
        <w:rPr>
          <w:sz w:val="20"/>
          <w:u w:val="single"/>
        </w:rPr>
        <w:fldChar w:fldCharType="separate"/>
      </w:r>
      <w:r>
        <w:rPr>
          <w:sz w:val="20"/>
          <w:u w:val="single"/>
        </w:rPr>
        <w:t>15.2</w:t>
      </w:r>
      <w:r>
        <w:rPr>
          <w:sz w:val="20"/>
          <w:u w:val="single"/>
        </w:rPr>
        <w:fldChar w:fldCharType="end"/>
      </w:r>
      <w:r>
        <w:rPr>
          <w:sz w:val="20"/>
        </w:rPr>
        <w:t>, each Party shall be liable to</w:t>
      </w:r>
      <w:r>
        <w:rPr>
          <w:sz w:val="20"/>
        </w:rPr>
        <w:t xml:space="preserve"> </w:t>
      </w:r>
      <w:r>
        <w:rPr>
          <w:sz w:val="20"/>
        </w:rPr>
        <w:t>the other Party for actual costs</w:t>
      </w:r>
      <w:r>
        <w:rPr>
          <w:sz w:val="20"/>
        </w:rPr>
        <w:t>, charges, damages, expenses or losses suffered by the other Party resulting from its breach of any of its obligation or warranty under this Agreement.</w:t>
      </w:r>
      <w:bookmarkEnd w:id="57"/>
      <w:r>
        <w:rPr>
          <w:sz w:val="20"/>
        </w:rPr>
        <w:t xml:space="preserve"> </w:t>
      </w:r>
    </w:p>
    <w:p w:rsidR="00A053D1" w:rsidRDefault="007B0A2E">
      <w:pPr>
        <w:pStyle w:val="Sectionparagraph"/>
        <w:rPr>
          <w:sz w:val="20"/>
        </w:rPr>
      </w:pPr>
      <w:bookmarkStart w:id="58" w:name="_Ref27136499"/>
      <w:r>
        <w:rPr>
          <w:sz w:val="20"/>
        </w:rPr>
        <w:t>Each Party disclaims any liability for any indirect damages or losses, whether foreseen or foreseeable,</w:t>
      </w:r>
      <w:r>
        <w:rPr>
          <w:sz w:val="20"/>
        </w:rPr>
        <w:t xml:space="preserve"> related to the loss of use, interruption of business, loss of actual or anticipated profit, loss of revenue, loss of anticipated savings, loss of opportunity, loss of goodwill, loss of reputation, loss of, damage to or corruption of assets or data, or any</w:t>
      </w:r>
      <w:r>
        <w:rPr>
          <w:sz w:val="20"/>
        </w:rPr>
        <w:t xml:space="preserve"> other indirect, incidental, exemplary, or consequential damages or losses of any kind, regardless of the form of action, whether in contract, tort or otherwise.</w:t>
      </w:r>
      <w:bookmarkEnd w:id="58"/>
    </w:p>
    <w:p w:rsidR="00A053D1" w:rsidRDefault="007B0A2E">
      <w:pPr>
        <w:pStyle w:val="Heading2"/>
        <w:rPr>
          <w:sz w:val="20"/>
          <w:szCs w:val="20"/>
        </w:rPr>
      </w:pPr>
      <w:bookmarkStart w:id="59" w:name="_Ref27146593"/>
      <w:bookmarkStart w:id="60" w:name="_Toc27154786"/>
      <w:bookmarkStart w:id="61" w:name="_Toc31904530"/>
      <w:r>
        <w:rPr>
          <w:sz w:val="20"/>
          <w:szCs w:val="20"/>
        </w:rPr>
        <w:t>Term</w:t>
      </w:r>
      <w:bookmarkEnd w:id="59"/>
      <w:bookmarkEnd w:id="60"/>
      <w:bookmarkEnd w:id="61"/>
    </w:p>
    <w:p w:rsidR="00A053D1" w:rsidRDefault="007B0A2E">
      <w:pPr>
        <w:pStyle w:val="Sectiontitle"/>
        <w:rPr>
          <w:sz w:val="20"/>
          <w:szCs w:val="20"/>
        </w:rPr>
      </w:pPr>
      <w:bookmarkStart w:id="62" w:name="_Toc27154787"/>
      <w:bookmarkStart w:id="63" w:name="_Toc31904531"/>
      <w:r>
        <w:rPr>
          <w:sz w:val="20"/>
          <w:szCs w:val="20"/>
        </w:rPr>
        <w:t>Term</w:t>
      </w:r>
      <w:bookmarkEnd w:id="62"/>
      <w:bookmarkEnd w:id="63"/>
    </w:p>
    <w:p w:rsidR="00A053D1" w:rsidRDefault="007B0A2E">
      <w:pPr>
        <w:pStyle w:val="Sectionparagraph"/>
        <w:numPr>
          <w:ilvl w:val="0"/>
          <w:numId w:val="0"/>
        </w:numPr>
        <w:ind w:left="851"/>
        <w:rPr>
          <w:sz w:val="20"/>
        </w:rPr>
      </w:pPr>
      <w:r>
        <w:rPr>
          <w:sz w:val="20"/>
        </w:rPr>
        <w:t>This Agreement shall be binding between the Parties upon execution by all Parties an</w:t>
      </w:r>
      <w:r>
        <w:rPr>
          <w:sz w:val="20"/>
        </w:rPr>
        <w:t xml:space="preserve">d shall remain in effect until termination pursuant to </w:t>
      </w:r>
      <w:r>
        <w:rPr>
          <w:sz w:val="20"/>
          <w:u w:val="single"/>
        </w:rPr>
        <w:t xml:space="preserve">Section </w:t>
      </w:r>
      <w:r>
        <w:rPr>
          <w:sz w:val="20"/>
          <w:u w:val="single"/>
        </w:rPr>
        <w:fldChar w:fldCharType="begin"/>
      </w:r>
      <w:r>
        <w:rPr>
          <w:sz w:val="20"/>
          <w:u w:val="single"/>
        </w:rPr>
        <w:instrText xml:space="preserve"> REF _Ref27146593 \r \h  \* MERGEFORMAT </w:instrText>
      </w:r>
      <w:r>
        <w:rPr>
          <w:sz w:val="20"/>
          <w:u w:val="single"/>
        </w:rPr>
      </w:r>
      <w:r>
        <w:rPr>
          <w:sz w:val="20"/>
          <w:u w:val="single"/>
        </w:rPr>
        <w:fldChar w:fldCharType="separate"/>
      </w:r>
      <w:r>
        <w:rPr>
          <w:sz w:val="20"/>
          <w:u w:val="single"/>
        </w:rPr>
        <w:t>VI</w:t>
      </w:r>
      <w:r>
        <w:rPr>
          <w:sz w:val="20"/>
          <w:u w:val="single"/>
        </w:rPr>
        <w:fldChar w:fldCharType="end"/>
      </w:r>
      <w:r>
        <w:rPr>
          <w:sz w:val="20"/>
          <w:u w:val="single"/>
        </w:rPr>
        <w:t>.</w:t>
      </w:r>
      <w:r>
        <w:rPr>
          <w:sz w:val="20"/>
          <w:u w:val="single"/>
        </w:rPr>
        <w:fldChar w:fldCharType="begin"/>
      </w:r>
      <w:r>
        <w:rPr>
          <w:sz w:val="20"/>
          <w:u w:val="single"/>
        </w:rPr>
        <w:instrText xml:space="preserve"> REF _Ref27146934 \r \h  \* MERGEFORMAT </w:instrText>
      </w:r>
      <w:r>
        <w:rPr>
          <w:sz w:val="20"/>
          <w:u w:val="single"/>
        </w:rPr>
      </w:r>
      <w:r>
        <w:rPr>
          <w:sz w:val="20"/>
          <w:u w:val="single"/>
        </w:rPr>
        <w:fldChar w:fldCharType="separate"/>
      </w:r>
      <w:r>
        <w:rPr>
          <w:sz w:val="20"/>
          <w:u w:val="single"/>
        </w:rPr>
        <w:t>17</w:t>
      </w:r>
      <w:r>
        <w:rPr>
          <w:sz w:val="20"/>
          <w:u w:val="single"/>
        </w:rPr>
        <w:fldChar w:fldCharType="end"/>
      </w:r>
      <w:r>
        <w:rPr>
          <w:sz w:val="20"/>
        </w:rPr>
        <w:t>.</w:t>
      </w:r>
    </w:p>
    <w:p w:rsidR="00A053D1" w:rsidRDefault="007B0A2E">
      <w:pPr>
        <w:pStyle w:val="Sectiontitle"/>
        <w:rPr>
          <w:sz w:val="20"/>
          <w:szCs w:val="20"/>
          <w:lang w:val="en-GB"/>
        </w:rPr>
      </w:pPr>
      <w:bookmarkStart w:id="64" w:name="_Ref27146934"/>
      <w:bookmarkStart w:id="65" w:name="_Toc27154788"/>
      <w:bookmarkStart w:id="66" w:name="_Toc31904532"/>
      <w:r>
        <w:rPr>
          <w:sz w:val="20"/>
          <w:szCs w:val="20"/>
          <w:lang w:val="en-GB"/>
        </w:rPr>
        <w:t>Termination</w:t>
      </w:r>
      <w:bookmarkEnd w:id="64"/>
      <w:bookmarkEnd w:id="65"/>
      <w:bookmarkEnd w:id="66"/>
    </w:p>
    <w:p w:rsidR="00A053D1" w:rsidRDefault="007B0A2E">
      <w:pPr>
        <w:pStyle w:val="Sectionparagraph"/>
        <w:rPr>
          <w:sz w:val="20"/>
        </w:rPr>
      </w:pPr>
      <w:bookmarkStart w:id="67" w:name="_Ref507062267"/>
      <w:r>
        <w:rPr>
          <w:sz w:val="20"/>
          <w:u w:val="single"/>
        </w:rPr>
        <w:t>Termination for Convenience</w:t>
      </w:r>
      <w:r>
        <w:rPr>
          <w:sz w:val="20"/>
        </w:rPr>
        <w:t xml:space="preserve">. </w:t>
      </w:r>
      <w:bookmarkStart w:id="68" w:name="_Hlk36045197"/>
      <w:r>
        <w:rPr>
          <w:sz w:val="20"/>
        </w:rPr>
        <w:t xml:space="preserve">Each Party may terminate the Agreement for any reason at any time upon 3 </w:t>
      </w:r>
      <w:proofErr w:type="gramStart"/>
      <w:r>
        <w:rPr>
          <w:sz w:val="20"/>
        </w:rPr>
        <w:t>months</w:t>
      </w:r>
      <w:proofErr w:type="gramEnd"/>
      <w:r>
        <w:rPr>
          <w:sz w:val="20"/>
        </w:rPr>
        <w:t xml:space="preserve"> prior written notice to the other Party.</w:t>
      </w:r>
      <w:bookmarkEnd w:id="67"/>
      <w:r>
        <w:rPr>
          <w:sz w:val="20"/>
        </w:rPr>
        <w:t xml:space="preserve"> </w:t>
      </w:r>
      <w:bookmarkEnd w:id="68"/>
    </w:p>
    <w:p w:rsidR="00A053D1" w:rsidRDefault="007B0A2E">
      <w:pPr>
        <w:pStyle w:val="Sectionparagraph"/>
        <w:rPr>
          <w:sz w:val="20"/>
        </w:rPr>
      </w:pPr>
      <w:bookmarkStart w:id="69" w:name="_Ref507060500"/>
      <w:r>
        <w:rPr>
          <w:sz w:val="20"/>
          <w:u w:val="single"/>
        </w:rPr>
        <w:t>Termination for Cause</w:t>
      </w:r>
      <w:r>
        <w:rPr>
          <w:sz w:val="20"/>
        </w:rPr>
        <w:t>. Each Party may terminate the Agreement with</w:t>
      </w:r>
      <w:r>
        <w:rPr>
          <w:sz w:val="20"/>
        </w:rPr>
        <w:t xml:space="preserve"> immediate effect, if the other Party has materially breached or is in material breach of its obligations and such breach is not cured, or the breaching Party is not diligently pursuing a cure, within 30 days after written notice of breach.</w:t>
      </w:r>
      <w:bookmarkEnd w:id="69"/>
    </w:p>
    <w:p w:rsidR="00A053D1" w:rsidRDefault="007B0A2E">
      <w:pPr>
        <w:pStyle w:val="Sectiontitle"/>
        <w:rPr>
          <w:sz w:val="20"/>
          <w:szCs w:val="20"/>
        </w:rPr>
      </w:pPr>
      <w:bookmarkStart w:id="70" w:name="_Toc27154789"/>
      <w:bookmarkStart w:id="71" w:name="_Toc31904533"/>
      <w:r>
        <w:rPr>
          <w:sz w:val="20"/>
          <w:szCs w:val="20"/>
        </w:rPr>
        <w:t>Survival</w:t>
      </w:r>
      <w:bookmarkEnd w:id="70"/>
      <w:bookmarkEnd w:id="71"/>
    </w:p>
    <w:p w:rsidR="00A053D1" w:rsidRDefault="007B0A2E">
      <w:pPr>
        <w:pStyle w:val="Heading1"/>
        <w:rPr>
          <w:sz w:val="20"/>
          <w:szCs w:val="20"/>
        </w:rPr>
      </w:pPr>
      <w:r>
        <w:rPr>
          <w:sz w:val="20"/>
          <w:szCs w:val="20"/>
        </w:rPr>
        <w:t>All te</w:t>
      </w:r>
      <w:r>
        <w:rPr>
          <w:sz w:val="20"/>
          <w:szCs w:val="20"/>
        </w:rPr>
        <w:t>rms which are expressed or intended to survive, and any provisions of the Agreement necessary for its interpretation or enforcement will continue to apply regardless of the reason for termination of the Agreement.</w:t>
      </w:r>
    </w:p>
    <w:p w:rsidR="00A053D1" w:rsidRDefault="007B0A2E">
      <w:pPr>
        <w:pStyle w:val="Heading2"/>
        <w:rPr>
          <w:sz w:val="20"/>
          <w:szCs w:val="20"/>
        </w:rPr>
      </w:pPr>
      <w:bookmarkStart w:id="72" w:name="_Toc27154790"/>
      <w:bookmarkStart w:id="73" w:name="_Toc31904534"/>
      <w:r>
        <w:rPr>
          <w:sz w:val="20"/>
          <w:szCs w:val="20"/>
        </w:rPr>
        <w:lastRenderedPageBreak/>
        <w:t>Miscellaneous</w:t>
      </w:r>
      <w:bookmarkEnd w:id="72"/>
      <w:bookmarkEnd w:id="73"/>
    </w:p>
    <w:p w:rsidR="00A053D1" w:rsidRDefault="007B0A2E">
      <w:pPr>
        <w:pStyle w:val="Sectiontitle"/>
        <w:rPr>
          <w:sz w:val="20"/>
          <w:szCs w:val="20"/>
        </w:rPr>
      </w:pPr>
      <w:bookmarkStart w:id="74" w:name="_Toc27154791"/>
      <w:bookmarkStart w:id="75" w:name="_Toc31904535"/>
      <w:r>
        <w:rPr>
          <w:sz w:val="20"/>
          <w:szCs w:val="20"/>
        </w:rPr>
        <w:t>Independent Contractors</w:t>
      </w:r>
      <w:bookmarkEnd w:id="74"/>
      <w:bookmarkEnd w:id="75"/>
    </w:p>
    <w:p w:rsidR="00A053D1" w:rsidRDefault="007B0A2E">
      <w:pPr>
        <w:pStyle w:val="Sectionparagraph"/>
        <w:numPr>
          <w:ilvl w:val="0"/>
          <w:numId w:val="0"/>
        </w:numPr>
        <w:ind w:left="851"/>
        <w:rPr>
          <w:sz w:val="20"/>
        </w:rPr>
      </w:pPr>
      <w:r>
        <w:rPr>
          <w:sz w:val="20"/>
        </w:rPr>
        <w:t>Noth</w:t>
      </w:r>
      <w:r>
        <w:rPr>
          <w:sz w:val="20"/>
        </w:rPr>
        <w:t>ing in the Agreement is intended to, or shall be deemed to, establish any partnership or joint venture between the Parties, constitute any Party the agent of the other Party, nor authorise any Party to make or enter into any commitments for or on behalf of</w:t>
      </w:r>
      <w:r>
        <w:rPr>
          <w:sz w:val="20"/>
        </w:rPr>
        <w:t xml:space="preserve"> the other Party. Neither Party shall have the power to incur any obligations in the name of, or on behalf of, or pledge credit of, the other Party in any manner whatsoever.</w:t>
      </w:r>
    </w:p>
    <w:p w:rsidR="00A053D1" w:rsidRDefault="007B0A2E">
      <w:pPr>
        <w:pStyle w:val="Sectiontitle"/>
        <w:rPr>
          <w:sz w:val="20"/>
          <w:szCs w:val="20"/>
        </w:rPr>
      </w:pPr>
      <w:bookmarkStart w:id="76" w:name="_Toc27154792"/>
      <w:bookmarkStart w:id="77" w:name="_Toc31904536"/>
      <w:r>
        <w:rPr>
          <w:sz w:val="20"/>
          <w:szCs w:val="20"/>
        </w:rPr>
        <w:t>Electronic Form</w:t>
      </w:r>
      <w:bookmarkEnd w:id="76"/>
      <w:bookmarkEnd w:id="77"/>
    </w:p>
    <w:p w:rsidR="00A053D1" w:rsidRDefault="007B0A2E">
      <w:pPr>
        <w:pStyle w:val="Heading1"/>
        <w:rPr>
          <w:sz w:val="20"/>
          <w:szCs w:val="20"/>
        </w:rPr>
      </w:pPr>
      <w:bookmarkStart w:id="78" w:name="_Hlk9413880"/>
      <w:r>
        <w:rPr>
          <w:sz w:val="20"/>
          <w:szCs w:val="20"/>
        </w:rPr>
        <w:t>The words “execution”, “signature” and similar words in this Agree</w:t>
      </w:r>
      <w:r>
        <w:rPr>
          <w:sz w:val="20"/>
          <w:szCs w:val="20"/>
        </w:rPr>
        <w:t xml:space="preserve">ment shall be deemed to include unqualified electronic signature (e.g. </w:t>
      </w:r>
      <w:proofErr w:type="spellStart"/>
      <w:r>
        <w:rPr>
          <w:sz w:val="20"/>
          <w:szCs w:val="20"/>
        </w:rPr>
        <w:t>Docusign</w:t>
      </w:r>
      <w:proofErr w:type="spellEnd"/>
      <w:r>
        <w:rPr>
          <w:sz w:val="20"/>
          <w:szCs w:val="20"/>
        </w:rPr>
        <w:t xml:space="preserve"> or any equivalent e-signature provider) each of which shall be of the same legal effect, validity or enforceability as a manually executed signature, while the term "in writing</w:t>
      </w:r>
      <w:r>
        <w:rPr>
          <w:sz w:val="20"/>
          <w:szCs w:val="20"/>
        </w:rPr>
        <w:t>" shall include communications by email.</w:t>
      </w:r>
      <w:bookmarkEnd w:id="78"/>
    </w:p>
    <w:p w:rsidR="00A053D1" w:rsidRDefault="007B0A2E">
      <w:pPr>
        <w:pStyle w:val="Sectiontitle"/>
        <w:rPr>
          <w:sz w:val="20"/>
          <w:szCs w:val="20"/>
        </w:rPr>
      </w:pPr>
      <w:bookmarkStart w:id="79" w:name="_Toc27154793"/>
      <w:bookmarkStart w:id="80" w:name="_Toc31904537"/>
      <w:r>
        <w:rPr>
          <w:sz w:val="20"/>
          <w:szCs w:val="20"/>
        </w:rPr>
        <w:t>Assignment</w:t>
      </w:r>
      <w:bookmarkEnd w:id="79"/>
      <w:bookmarkEnd w:id="80"/>
    </w:p>
    <w:p w:rsidR="00A053D1" w:rsidRDefault="007B0A2E">
      <w:pPr>
        <w:pStyle w:val="Heading1"/>
        <w:rPr>
          <w:sz w:val="20"/>
          <w:szCs w:val="20"/>
        </w:rPr>
      </w:pPr>
      <w:r>
        <w:rPr>
          <w:sz w:val="20"/>
          <w:szCs w:val="20"/>
        </w:rPr>
        <w:t xml:space="preserve">No Party may transfer this Agreement, or assign in whole or in part its rights or obligations under this Agreement, without the prior written consent of the other Parties. Any transfer or assignment made </w:t>
      </w:r>
      <w:r>
        <w:rPr>
          <w:sz w:val="20"/>
          <w:szCs w:val="20"/>
        </w:rPr>
        <w:t>without such consent shall be null.</w:t>
      </w:r>
    </w:p>
    <w:p w:rsidR="00A053D1" w:rsidRDefault="007B0A2E">
      <w:pPr>
        <w:pStyle w:val="Sectiontitle"/>
        <w:rPr>
          <w:sz w:val="20"/>
          <w:szCs w:val="20"/>
        </w:rPr>
      </w:pPr>
      <w:bookmarkStart w:id="81" w:name="_Toc27154794"/>
      <w:bookmarkStart w:id="82" w:name="_Toc31904538"/>
      <w:bookmarkStart w:id="83" w:name="_Hlk521935864"/>
      <w:r>
        <w:rPr>
          <w:sz w:val="20"/>
          <w:szCs w:val="20"/>
        </w:rPr>
        <w:t>Force Majeure</w:t>
      </w:r>
      <w:bookmarkEnd w:id="81"/>
      <w:bookmarkEnd w:id="82"/>
    </w:p>
    <w:p w:rsidR="00A053D1" w:rsidRDefault="007B0A2E">
      <w:pPr>
        <w:pStyle w:val="Heading1"/>
        <w:rPr>
          <w:sz w:val="20"/>
          <w:szCs w:val="20"/>
        </w:rPr>
      </w:pPr>
      <w:r>
        <w:rPr>
          <w:sz w:val="20"/>
          <w:szCs w:val="20"/>
        </w:rPr>
        <w:t>No Party shall be considered in default under this Agreement if all or any of its obligations (other than for payment obligations) are dela</w:t>
      </w:r>
      <w:r>
        <w:rPr>
          <w:sz w:val="20"/>
          <w:szCs w:val="20"/>
        </w:rPr>
        <w:t>yed or prevented as a result of a situation of force majeure, such as natural disasters of a particular intensity, war, riot, strike, power failure or Internet network failure, or any other cause that is reasonably beyond the control of the affected Party.</w:t>
      </w:r>
      <w:bookmarkEnd w:id="83"/>
    </w:p>
    <w:p w:rsidR="00A053D1" w:rsidRDefault="007B0A2E">
      <w:pPr>
        <w:pStyle w:val="Sectiontitle"/>
        <w:rPr>
          <w:sz w:val="20"/>
          <w:szCs w:val="20"/>
        </w:rPr>
      </w:pPr>
      <w:bookmarkStart w:id="84" w:name="_Toc27154795"/>
      <w:bookmarkStart w:id="85" w:name="_Toc31904539"/>
      <w:r>
        <w:rPr>
          <w:sz w:val="20"/>
          <w:szCs w:val="20"/>
        </w:rPr>
        <w:t>Amendment</w:t>
      </w:r>
      <w:bookmarkEnd w:id="84"/>
      <w:bookmarkEnd w:id="85"/>
    </w:p>
    <w:p w:rsidR="00A053D1" w:rsidRDefault="007B0A2E">
      <w:pPr>
        <w:pStyle w:val="Heading1"/>
        <w:rPr>
          <w:b/>
          <w:sz w:val="20"/>
          <w:szCs w:val="20"/>
        </w:rPr>
      </w:pPr>
      <w:r>
        <w:rPr>
          <w:sz w:val="20"/>
          <w:szCs w:val="20"/>
        </w:rPr>
        <w:t>This Agreement (including this section) may be amended only by a written instrument duly signed by the Parties.</w:t>
      </w:r>
    </w:p>
    <w:p w:rsidR="00A053D1" w:rsidRDefault="007B0A2E">
      <w:pPr>
        <w:pStyle w:val="Sectiontitle"/>
        <w:rPr>
          <w:sz w:val="20"/>
          <w:szCs w:val="20"/>
        </w:rPr>
      </w:pPr>
      <w:bookmarkStart w:id="86" w:name="_Toc27154796"/>
      <w:bookmarkStart w:id="87" w:name="_Toc31904540"/>
      <w:r>
        <w:rPr>
          <w:sz w:val="20"/>
          <w:szCs w:val="20"/>
        </w:rPr>
        <w:t xml:space="preserve">Entire Agreement and </w:t>
      </w:r>
      <w:bookmarkEnd w:id="86"/>
      <w:r>
        <w:rPr>
          <w:sz w:val="20"/>
          <w:szCs w:val="20"/>
        </w:rPr>
        <w:t>Hierarchy</w:t>
      </w:r>
      <w:bookmarkEnd w:id="87"/>
      <w:r>
        <w:rPr>
          <w:sz w:val="20"/>
          <w:szCs w:val="20"/>
        </w:rPr>
        <w:t xml:space="preserve"> </w:t>
      </w:r>
    </w:p>
    <w:p w:rsidR="00A053D1" w:rsidRDefault="007B0A2E">
      <w:pPr>
        <w:pStyle w:val="Sectionparagraph"/>
        <w:rPr>
          <w:b/>
          <w:sz w:val="20"/>
        </w:rPr>
      </w:pPr>
      <w:r>
        <w:rPr>
          <w:sz w:val="20"/>
        </w:rPr>
        <w:t xml:space="preserve">This Agreement, together with its appendices, </w:t>
      </w:r>
      <w:r>
        <w:rPr>
          <w:sz w:val="20"/>
        </w:rPr>
        <w:t>together with its appendices and the future agreement regarding the Payment of Fees according to article 3.1, constitutes the entire agreement between the Parties with respect to its subject matter and supersedes all prior agreements between the Parties wi</w:t>
      </w:r>
      <w:r>
        <w:rPr>
          <w:sz w:val="20"/>
        </w:rPr>
        <w:t xml:space="preserve">th respect to its subject matter. </w:t>
      </w:r>
    </w:p>
    <w:p w:rsidR="00A053D1" w:rsidRDefault="007B0A2E">
      <w:pPr>
        <w:pStyle w:val="Sectionparagraph"/>
        <w:rPr>
          <w:b/>
          <w:sz w:val="20"/>
        </w:rPr>
      </w:pPr>
      <w:r>
        <w:rPr>
          <w:sz w:val="20"/>
        </w:rPr>
        <w:t>In the event of conflict with an appendix to this Agreement, this main body of this Agreement will govern, unless the appendix specifically states its intent to do so and cites the section or sections amended.</w:t>
      </w:r>
    </w:p>
    <w:p w:rsidR="00A053D1" w:rsidRDefault="007B0A2E">
      <w:pPr>
        <w:pStyle w:val="Sectiontitle"/>
        <w:rPr>
          <w:sz w:val="20"/>
          <w:szCs w:val="20"/>
        </w:rPr>
      </w:pPr>
      <w:bookmarkStart w:id="88" w:name="_Toc27154797"/>
      <w:bookmarkStart w:id="89" w:name="_Toc31904541"/>
      <w:r>
        <w:rPr>
          <w:sz w:val="20"/>
          <w:szCs w:val="20"/>
        </w:rPr>
        <w:t>Severabilit</w:t>
      </w:r>
      <w:r>
        <w:rPr>
          <w:sz w:val="20"/>
          <w:szCs w:val="20"/>
        </w:rPr>
        <w:t>y</w:t>
      </w:r>
      <w:bookmarkEnd w:id="88"/>
      <w:bookmarkEnd w:id="89"/>
    </w:p>
    <w:p w:rsidR="00A053D1" w:rsidRDefault="007B0A2E">
      <w:pPr>
        <w:pStyle w:val="Heading1"/>
        <w:rPr>
          <w:b/>
          <w:sz w:val="20"/>
          <w:szCs w:val="20"/>
        </w:rPr>
      </w:pPr>
      <w:r>
        <w:rPr>
          <w:sz w:val="20"/>
          <w:szCs w:val="20"/>
        </w:rPr>
        <w:t xml:space="preserve">If any provision of this Agreement is held to be invalid or unenforceable for any reason, the Parties shall replace it by a substitute provision that achieves to the fullest extent possible the same legal and economic purposes as those of the invalid or </w:t>
      </w:r>
      <w:r>
        <w:rPr>
          <w:sz w:val="20"/>
          <w:szCs w:val="20"/>
        </w:rPr>
        <w:t>unenforceable provision. In any event, the remainder of this Agreement shall remain in full force and effect between the Parties.</w:t>
      </w:r>
    </w:p>
    <w:p w:rsidR="00A053D1" w:rsidRDefault="007B0A2E">
      <w:pPr>
        <w:pStyle w:val="Sectiontitle"/>
        <w:rPr>
          <w:sz w:val="20"/>
          <w:szCs w:val="20"/>
        </w:rPr>
      </w:pPr>
      <w:bookmarkStart w:id="90" w:name="_Toc27154798"/>
      <w:bookmarkStart w:id="91" w:name="_Toc31904542"/>
      <w:r>
        <w:rPr>
          <w:sz w:val="20"/>
          <w:szCs w:val="20"/>
        </w:rPr>
        <w:lastRenderedPageBreak/>
        <w:t>No Waiver</w:t>
      </w:r>
      <w:bookmarkEnd w:id="90"/>
      <w:bookmarkEnd w:id="91"/>
    </w:p>
    <w:p w:rsidR="00A053D1" w:rsidRDefault="007B0A2E">
      <w:pPr>
        <w:pStyle w:val="Heading1"/>
        <w:rPr>
          <w:b/>
          <w:sz w:val="20"/>
          <w:szCs w:val="20"/>
        </w:rPr>
      </w:pPr>
      <w:r>
        <w:rPr>
          <w:sz w:val="20"/>
          <w:szCs w:val="20"/>
        </w:rPr>
        <w:t xml:space="preserve">The failure of any of the Parties to enforce any of the provisions of this </w:t>
      </w:r>
      <w:r>
        <w:rPr>
          <w:bCs/>
          <w:sz w:val="20"/>
          <w:szCs w:val="20"/>
        </w:rPr>
        <w:t>Agreement</w:t>
      </w:r>
      <w:r>
        <w:rPr>
          <w:sz w:val="20"/>
          <w:szCs w:val="20"/>
        </w:rPr>
        <w:t xml:space="preserve"> or any rights with respect ther</w:t>
      </w:r>
      <w:r>
        <w:rPr>
          <w:sz w:val="20"/>
          <w:szCs w:val="20"/>
        </w:rPr>
        <w:t xml:space="preserve">eto shall in no way be considered as a waiver of such provisions or rights or in any way affect the validity of this </w:t>
      </w:r>
      <w:r>
        <w:rPr>
          <w:bCs/>
          <w:sz w:val="20"/>
          <w:szCs w:val="20"/>
        </w:rPr>
        <w:t>Agreement</w:t>
      </w:r>
      <w:r>
        <w:rPr>
          <w:sz w:val="20"/>
          <w:szCs w:val="20"/>
        </w:rPr>
        <w:t xml:space="preserve">. The waiver of any breach of this </w:t>
      </w:r>
      <w:r>
        <w:rPr>
          <w:bCs/>
          <w:sz w:val="20"/>
          <w:szCs w:val="20"/>
        </w:rPr>
        <w:t>Agreement</w:t>
      </w:r>
      <w:r>
        <w:rPr>
          <w:sz w:val="20"/>
          <w:szCs w:val="20"/>
        </w:rPr>
        <w:t xml:space="preserve"> by any Party shall not be construed as a waiver of any other prior or subsequent brea</w:t>
      </w:r>
      <w:r>
        <w:rPr>
          <w:sz w:val="20"/>
          <w:szCs w:val="20"/>
        </w:rPr>
        <w:t>ch.</w:t>
      </w:r>
    </w:p>
    <w:p w:rsidR="00A053D1" w:rsidRDefault="007B0A2E">
      <w:pPr>
        <w:pStyle w:val="Heading2"/>
        <w:rPr>
          <w:sz w:val="20"/>
          <w:szCs w:val="20"/>
        </w:rPr>
      </w:pPr>
      <w:bookmarkStart w:id="92" w:name="_Toc27154799"/>
      <w:bookmarkStart w:id="93" w:name="_Toc31904543"/>
      <w:r>
        <w:rPr>
          <w:sz w:val="20"/>
          <w:szCs w:val="20"/>
        </w:rPr>
        <w:t>Governing Law and Jurisdiction</w:t>
      </w:r>
      <w:bookmarkEnd w:id="92"/>
      <w:bookmarkEnd w:id="93"/>
    </w:p>
    <w:p w:rsidR="00A053D1" w:rsidRDefault="007B0A2E">
      <w:pPr>
        <w:pStyle w:val="Sectiontitle"/>
        <w:rPr>
          <w:sz w:val="20"/>
          <w:szCs w:val="20"/>
        </w:rPr>
      </w:pPr>
      <w:bookmarkStart w:id="94" w:name="_Toc27154800"/>
      <w:bookmarkStart w:id="95" w:name="_Toc31904544"/>
      <w:r>
        <w:rPr>
          <w:sz w:val="20"/>
          <w:szCs w:val="20"/>
        </w:rPr>
        <w:t>Governing Law</w:t>
      </w:r>
      <w:bookmarkEnd w:id="94"/>
      <w:bookmarkEnd w:id="95"/>
    </w:p>
    <w:p w:rsidR="00A053D1" w:rsidRDefault="007B0A2E">
      <w:pPr>
        <w:pStyle w:val="Heading1"/>
        <w:rPr>
          <w:sz w:val="20"/>
          <w:szCs w:val="20"/>
        </w:rPr>
      </w:pPr>
      <w:r>
        <w:rPr>
          <w:sz w:val="20"/>
          <w:szCs w:val="20"/>
        </w:rPr>
        <w:t xml:space="preserve">This Agreement shall be governed by and construed in accordance with Swiss substantive law, without reference to its conflict of law provisions. </w:t>
      </w:r>
    </w:p>
    <w:p w:rsidR="00A053D1" w:rsidRDefault="007B0A2E">
      <w:pPr>
        <w:pStyle w:val="Sectiontitle"/>
        <w:rPr>
          <w:sz w:val="20"/>
          <w:szCs w:val="20"/>
        </w:rPr>
      </w:pPr>
      <w:bookmarkStart w:id="96" w:name="_Toc27154801"/>
      <w:bookmarkStart w:id="97" w:name="_Toc31904545"/>
      <w:r>
        <w:rPr>
          <w:sz w:val="20"/>
          <w:szCs w:val="20"/>
        </w:rPr>
        <w:t>Jurisdiction</w:t>
      </w:r>
      <w:bookmarkEnd w:id="96"/>
      <w:bookmarkEnd w:id="97"/>
    </w:p>
    <w:p w:rsidR="00A053D1" w:rsidRDefault="007B0A2E">
      <w:pPr>
        <w:pStyle w:val="Heading1"/>
        <w:rPr>
          <w:sz w:val="20"/>
          <w:szCs w:val="20"/>
        </w:rPr>
      </w:pPr>
      <w:r>
        <w:rPr>
          <w:sz w:val="20"/>
          <w:szCs w:val="20"/>
        </w:rPr>
        <w:t>Any dispute or difference arising out of or in r</w:t>
      </w:r>
      <w:r>
        <w:rPr>
          <w:sz w:val="20"/>
          <w:szCs w:val="20"/>
        </w:rPr>
        <w:t>elation to this Agreement shall be subject to the exclusive jurisdiction of Swiss courts at the registered seat of the defending Party, subject to the right of appeal to the Federal Tribunal.</w:t>
      </w:r>
    </w:p>
    <w:p w:rsidR="00A053D1" w:rsidRDefault="00A053D1">
      <w:pPr>
        <w:pStyle w:val="Unnumberedsectionpara"/>
        <w:ind w:left="0"/>
        <w:jc w:val="center"/>
        <w:rPr>
          <w:sz w:val="20"/>
        </w:rPr>
      </w:pPr>
    </w:p>
    <w:p w:rsidR="00A053D1" w:rsidRDefault="007B0A2E">
      <w:pPr>
        <w:pStyle w:val="Unnumberedsectionpara"/>
        <w:ind w:left="0"/>
        <w:jc w:val="center"/>
        <w:rPr>
          <w:sz w:val="20"/>
        </w:rPr>
      </w:pPr>
      <w:r>
        <w:rPr>
          <w:sz w:val="20"/>
        </w:rPr>
        <w:t>[</w:t>
      </w:r>
      <w:r>
        <w:rPr>
          <w:i/>
          <w:iCs/>
          <w:sz w:val="20"/>
        </w:rPr>
        <w:t>signature page follows</w:t>
      </w:r>
      <w:r>
        <w:rPr>
          <w:sz w:val="20"/>
        </w:rPr>
        <w:t>]</w:t>
      </w:r>
    </w:p>
    <w:p w:rsidR="00A053D1" w:rsidRDefault="00A053D1">
      <w:pPr>
        <w:spacing w:line="276" w:lineRule="auto"/>
        <w:jc w:val="both"/>
        <w:rPr>
          <w:rFonts w:ascii="Arial" w:hAnsi="Arial" w:cs="Arial"/>
          <w:sz w:val="20"/>
          <w:szCs w:val="20"/>
        </w:rPr>
      </w:pPr>
    </w:p>
    <w:p w:rsidR="00A053D1" w:rsidRDefault="00A053D1">
      <w:pPr>
        <w:spacing w:line="276" w:lineRule="auto"/>
        <w:jc w:val="both"/>
        <w:rPr>
          <w:rFonts w:ascii="Arial" w:hAnsi="Arial" w:cs="Arial"/>
          <w:sz w:val="20"/>
          <w:szCs w:val="20"/>
        </w:rPr>
      </w:pPr>
    </w:p>
    <w:p w:rsidR="00A053D1" w:rsidRDefault="007B0A2E">
      <w:pPr>
        <w:rPr>
          <w:rFonts w:ascii="Arial" w:hAnsi="Arial" w:cs="Arial"/>
          <w:b/>
          <w:sz w:val="20"/>
          <w:szCs w:val="20"/>
        </w:rPr>
      </w:pPr>
      <w:r>
        <w:rPr>
          <w:rFonts w:ascii="Arial" w:hAnsi="Arial" w:cs="Arial"/>
          <w:b/>
          <w:sz w:val="20"/>
          <w:szCs w:val="20"/>
        </w:rPr>
        <w:br w:type="page"/>
      </w:r>
    </w:p>
    <w:p w:rsidR="00A053D1" w:rsidRDefault="00A053D1">
      <w:pPr>
        <w:rPr>
          <w:rFonts w:ascii="Arial" w:hAnsi="Arial" w:cs="Arial"/>
          <w:b/>
          <w:sz w:val="20"/>
          <w:szCs w:val="20"/>
        </w:rPr>
        <w:sectPr w:rsidR="00A053D1">
          <w:headerReference w:type="default" r:id="rId10"/>
          <w:footerReference w:type="even" r:id="rId11"/>
          <w:footerReference w:type="default" r:id="rId12"/>
          <w:headerReference w:type="first" r:id="rId13"/>
          <w:footerReference w:type="first" r:id="rId14"/>
          <w:pgSz w:w="11900" w:h="16840"/>
          <w:pgMar w:top="1352"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053D1">
        <w:tc>
          <w:tcPr>
            <w:tcW w:w="9010" w:type="dxa"/>
            <w:gridSpan w:val="2"/>
          </w:tcPr>
          <w:p w:rsidR="00A053D1" w:rsidRDefault="007B0A2E">
            <w:pPr>
              <w:tabs>
                <w:tab w:val="left" w:pos="4536"/>
              </w:tabs>
              <w:spacing w:line="276" w:lineRule="auto"/>
              <w:jc w:val="both"/>
              <w:rPr>
                <w:rFonts w:ascii="Arial" w:hAnsi="Arial" w:cs="Arial"/>
                <w:b/>
                <w:sz w:val="20"/>
                <w:szCs w:val="20"/>
                <w:u w:val="single"/>
                <w:lang w:eastAsia="fr-FR"/>
              </w:rPr>
            </w:pPr>
            <w:r>
              <w:rPr>
                <w:rFonts w:ascii="Arial" w:hAnsi="Arial" w:cs="Arial"/>
                <w:b/>
                <w:sz w:val="20"/>
                <w:szCs w:val="20"/>
              </w:rPr>
              <w:lastRenderedPageBreak/>
              <w:br w:type="page"/>
            </w:r>
            <w:r>
              <w:rPr>
                <w:rFonts w:ascii="Arial" w:hAnsi="Arial" w:cs="Arial"/>
                <w:b/>
                <w:sz w:val="20"/>
                <w:szCs w:val="20"/>
                <w:u w:val="single"/>
                <w:lang w:eastAsia="fr-FR"/>
              </w:rPr>
              <w:t>Provider</w:t>
            </w:r>
          </w:p>
          <w:p w:rsidR="00A053D1" w:rsidRDefault="00A053D1">
            <w:pPr>
              <w:tabs>
                <w:tab w:val="left" w:pos="4536"/>
              </w:tabs>
              <w:spacing w:line="276" w:lineRule="auto"/>
              <w:jc w:val="both"/>
              <w:rPr>
                <w:rFonts w:ascii="Arial" w:hAnsi="Arial" w:cs="Arial"/>
                <w:b/>
                <w:sz w:val="20"/>
                <w:szCs w:val="20"/>
                <w:lang w:eastAsia="fr-FR"/>
              </w:rPr>
            </w:pPr>
          </w:p>
          <w:p w:rsidR="00A053D1" w:rsidRDefault="007B0A2E">
            <w:pPr>
              <w:spacing w:line="276" w:lineRule="auto"/>
              <w:rPr>
                <w:rFonts w:ascii="Arial" w:hAnsi="Arial" w:cs="Arial"/>
                <w:sz w:val="20"/>
                <w:szCs w:val="20"/>
                <w:lang w:eastAsia="fr-FR"/>
              </w:rPr>
            </w:pPr>
            <w:r>
              <w:rPr>
                <w:rFonts w:ascii="Arial" w:hAnsi="Arial" w:cs="Arial"/>
                <w:b/>
                <w:sz w:val="20"/>
                <w:szCs w:val="20"/>
                <w:lang w:eastAsia="fr-FR"/>
              </w:rPr>
              <w:t>[</w:t>
            </w:r>
            <w:proofErr w:type="spellStart"/>
            <w:r>
              <w:rPr>
                <w:rFonts w:ascii="Arial" w:hAnsi="Arial" w:cs="Arial"/>
                <w:b/>
                <w:sz w:val="20"/>
                <w:szCs w:val="20"/>
                <w:highlight w:val="yellow"/>
                <w:lang w:eastAsia="fr-FR"/>
              </w:rPr>
              <w:t>name</w:t>
            </w:r>
            <w:proofErr w:type="spellEnd"/>
            <w:r>
              <w:rPr>
                <w:rFonts w:ascii="Arial" w:hAnsi="Arial" w:cs="Arial"/>
                <w:b/>
                <w:sz w:val="20"/>
                <w:szCs w:val="20"/>
                <w:lang w:eastAsia="fr-FR"/>
              </w:rPr>
              <w:t>]</w:t>
            </w:r>
            <w:r>
              <w:rPr>
                <w:rFonts w:ascii="Arial" w:hAnsi="Arial" w:cs="Arial"/>
                <w:sz w:val="20"/>
                <w:szCs w:val="20"/>
                <w:lang w:eastAsia="fr-FR"/>
              </w:rPr>
              <w:t>, [</w:t>
            </w:r>
            <w:proofErr w:type="spellStart"/>
            <w:r>
              <w:rPr>
                <w:rFonts w:ascii="Arial" w:hAnsi="Arial" w:cs="Arial"/>
                <w:sz w:val="20"/>
                <w:szCs w:val="20"/>
                <w:highlight w:val="yellow"/>
                <w:lang w:eastAsia="fr-FR"/>
              </w:rPr>
              <w:t>address</w:t>
            </w:r>
            <w:proofErr w:type="spellEnd"/>
            <w:r>
              <w:rPr>
                <w:rFonts w:ascii="Arial" w:hAnsi="Arial" w:cs="Arial"/>
                <w:sz w:val="20"/>
                <w:szCs w:val="20"/>
                <w:lang w:eastAsia="fr-FR"/>
              </w:rPr>
              <w:t>]</w:t>
            </w:r>
            <w:r>
              <w:rPr>
                <w:rFonts w:ascii="Arial" w:hAnsi="Arial" w:cs="Arial"/>
                <w:b/>
                <w:sz w:val="20"/>
                <w:szCs w:val="20"/>
              </w:rPr>
              <w:tab/>
            </w:r>
          </w:p>
        </w:tc>
      </w:tr>
      <w:tr w:rsidR="00A053D1">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[Title]</w:t>
            </w:r>
          </w:p>
          <w:p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Date:</w:t>
            </w:r>
          </w:p>
          <w:p w:rsidR="00A053D1" w:rsidRDefault="00A053D1">
            <w:pPr>
              <w:tabs>
                <w:tab w:val="left" w:pos="4536"/>
              </w:tabs>
              <w:spacing w:line="276" w:lineRule="auto"/>
              <w:jc w:val="both"/>
              <w:rPr>
                <w:rFonts w:ascii="Arial" w:hAnsi="Arial" w:cs="Arial"/>
                <w:b/>
                <w:sz w:val="20"/>
                <w:szCs w:val="20"/>
                <w:lang w:eastAsia="fr-FR"/>
              </w:rPr>
            </w:pPr>
          </w:p>
        </w:tc>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A053D1">
            <w:pPr>
              <w:tabs>
                <w:tab w:val="left" w:pos="3119"/>
                <w:tab w:val="left" w:pos="4536"/>
                <w:tab w:val="left" w:pos="7513"/>
              </w:tabs>
              <w:spacing w:line="276" w:lineRule="auto"/>
              <w:jc w:val="both"/>
              <w:rPr>
                <w:rFonts w:ascii="Arial" w:hAnsi="Arial" w:cs="Arial"/>
                <w:sz w:val="20"/>
                <w:szCs w:val="20"/>
                <w:u w:val="single"/>
              </w:rPr>
            </w:pPr>
          </w:p>
          <w:p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u w:val="single"/>
              </w:rPr>
              <w:tab/>
            </w:r>
          </w:p>
          <w:p w:rsidR="00A053D1" w:rsidRDefault="007B0A2E">
            <w:pPr>
              <w:tabs>
                <w:tab w:val="left" w:pos="3119"/>
                <w:tab w:val="left" w:pos="4536"/>
                <w:tab w:val="left" w:pos="7513"/>
              </w:tabs>
              <w:spacing w:line="276" w:lineRule="auto"/>
              <w:jc w:val="both"/>
              <w:rPr>
                <w:rFonts w:ascii="Arial" w:hAnsi="Arial" w:cs="Arial"/>
                <w:sz w:val="20"/>
                <w:szCs w:val="20"/>
                <w:u w:val="single"/>
              </w:rPr>
            </w:pPr>
            <w:r>
              <w:rPr>
                <w:rFonts w:ascii="Arial" w:hAnsi="Arial" w:cs="Arial"/>
                <w:sz w:val="20"/>
                <w:szCs w:val="20"/>
              </w:rPr>
              <w:t>[Name]</w:t>
            </w:r>
            <w:r>
              <w:rPr>
                <w:rFonts w:ascii="Arial" w:hAnsi="Arial" w:cs="Arial"/>
                <w:sz w:val="20"/>
                <w:szCs w:val="20"/>
              </w:rPr>
              <w:tab/>
            </w:r>
          </w:p>
          <w:p w:rsidR="00A053D1" w:rsidRDefault="007B0A2E">
            <w:pPr>
              <w:tabs>
                <w:tab w:val="left" w:pos="4536"/>
              </w:tabs>
              <w:spacing w:line="276" w:lineRule="auto"/>
              <w:jc w:val="both"/>
              <w:rPr>
                <w:rFonts w:ascii="Arial" w:hAnsi="Arial" w:cs="Arial"/>
                <w:sz w:val="20"/>
                <w:szCs w:val="20"/>
              </w:rPr>
            </w:pPr>
            <w:r>
              <w:rPr>
                <w:rFonts w:ascii="Arial" w:hAnsi="Arial" w:cs="Arial"/>
                <w:sz w:val="20"/>
                <w:szCs w:val="20"/>
              </w:rPr>
              <w:t>[Title]</w:t>
            </w:r>
          </w:p>
          <w:p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053D1">
        <w:tc>
          <w:tcPr>
            <w:tcW w:w="9010" w:type="dxa"/>
            <w:gridSpan w:val="2"/>
          </w:tcPr>
          <w:p w:rsidR="00A053D1" w:rsidRDefault="00A053D1">
            <w:pPr>
              <w:rPr>
                <w:rFonts w:ascii="Arial" w:hAnsi="Arial" w:cs="Arial"/>
                <w:b/>
                <w:sz w:val="20"/>
                <w:szCs w:val="20"/>
                <w:lang w:val="en-US"/>
              </w:rPr>
            </w:pPr>
          </w:p>
          <w:p w:rsidR="00A053D1" w:rsidRDefault="007B0A2E">
            <w:pPr>
              <w:rPr>
                <w:rFonts w:ascii="Arial" w:hAnsi="Arial" w:cs="Arial"/>
                <w:b/>
                <w:sz w:val="20"/>
                <w:szCs w:val="20"/>
                <w:u w:val="single"/>
                <w:lang w:val="en-US"/>
              </w:rPr>
            </w:pPr>
            <w:r>
              <w:rPr>
                <w:rFonts w:ascii="Arial" w:hAnsi="Arial" w:cs="Arial"/>
                <w:b/>
                <w:sz w:val="20"/>
                <w:szCs w:val="20"/>
                <w:u w:val="single"/>
                <w:lang w:val="en-US"/>
              </w:rPr>
              <w:t>BioMedIT Node</w:t>
            </w:r>
          </w:p>
          <w:p w:rsidR="00A053D1" w:rsidRDefault="00A053D1">
            <w:pPr>
              <w:rPr>
                <w:rFonts w:ascii="Arial" w:hAnsi="Arial" w:cs="Arial"/>
                <w:b/>
                <w:sz w:val="20"/>
                <w:szCs w:val="20"/>
                <w:lang w:val="en-US"/>
              </w:rPr>
            </w:pPr>
          </w:p>
          <w:p w:rsidR="00A053D1" w:rsidRDefault="00A053D1">
            <w:pPr>
              <w:rPr>
                <w:rFonts w:ascii="Arial" w:hAnsi="Arial" w:cs="Arial"/>
                <w:b/>
                <w:sz w:val="20"/>
                <w:szCs w:val="20"/>
                <w:lang w:val="en-US"/>
              </w:rPr>
            </w:pPr>
          </w:p>
          <w:p w:rsidR="00A053D1" w:rsidRDefault="00A053D1">
            <w:pPr>
              <w:rPr>
                <w:rFonts w:ascii="Arial" w:hAnsi="Arial" w:cs="Arial"/>
                <w:b/>
                <w:sz w:val="20"/>
                <w:szCs w:val="20"/>
                <w:lang w:val="en-US"/>
              </w:rPr>
            </w:pPr>
          </w:p>
          <w:p w:rsidR="00A053D1" w:rsidRDefault="007B0A2E">
            <w:pPr>
              <w:rPr>
                <w:rFonts w:ascii="Arial" w:hAnsi="Arial" w:cs="Arial"/>
                <w:sz w:val="20"/>
                <w:szCs w:val="20"/>
                <w:lang w:val="en-US"/>
              </w:rPr>
            </w:pPr>
            <w:r>
              <w:rPr>
                <w:rFonts w:ascii="Arial" w:hAnsi="Arial" w:cs="Arial"/>
                <w:b/>
                <w:sz w:val="20"/>
                <w:szCs w:val="20"/>
                <w:lang w:val="en-US"/>
              </w:rPr>
              <w:t xml:space="preserve">SIB Swiss Institute of Bioinformatics </w:t>
            </w:r>
            <w:r>
              <w:rPr>
                <w:rFonts w:ascii="Arial" w:hAnsi="Arial" w:cs="Arial"/>
                <w:sz w:val="20"/>
                <w:szCs w:val="20"/>
                <w:lang w:val="en-US"/>
              </w:rPr>
              <w:t xml:space="preserve">(Core-IT, </w:t>
            </w:r>
            <w:proofErr w:type="spellStart"/>
            <w:r>
              <w:rPr>
                <w:rFonts w:ascii="Arial" w:hAnsi="Arial" w:cs="Arial"/>
                <w:sz w:val="20"/>
                <w:szCs w:val="20"/>
                <w:lang w:val="en-US"/>
              </w:rPr>
              <w:t>Romandie</w:t>
            </w:r>
            <w:proofErr w:type="spellEnd"/>
            <w:r>
              <w:rPr>
                <w:rFonts w:ascii="Arial" w:hAnsi="Arial" w:cs="Arial"/>
                <w:sz w:val="20"/>
                <w:szCs w:val="20"/>
                <w:lang w:val="en-US"/>
              </w:rPr>
              <w:t xml:space="preserve"> </w:t>
            </w:r>
            <w:proofErr w:type="spellStart"/>
            <w:r>
              <w:rPr>
                <w:rFonts w:ascii="Arial" w:hAnsi="Arial" w:cs="Arial"/>
                <w:sz w:val="20"/>
                <w:szCs w:val="20"/>
                <w:lang w:val="en-US"/>
              </w:rPr>
              <w:t>BioMed</w:t>
            </w:r>
            <w:proofErr w:type="spellEnd"/>
            <w:r>
              <w:rPr>
                <w:rFonts w:ascii="Arial" w:hAnsi="Arial" w:cs="Arial"/>
                <w:sz w:val="20"/>
                <w:szCs w:val="20"/>
                <w:lang w:val="en-US"/>
              </w:rPr>
              <w:t>-IT Node)</w:t>
            </w:r>
          </w:p>
        </w:tc>
      </w:tr>
      <w:tr w:rsidR="00A053D1">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u w:val="single"/>
                <w:lang w:val="en-GB"/>
              </w:rPr>
            </w:pPr>
            <w:r>
              <w:rPr>
                <w:rFonts w:ascii="Arial" w:hAnsi="Arial" w:cs="Arial"/>
                <w:sz w:val="20"/>
                <w:szCs w:val="20"/>
                <w:lang w:val="en-GB"/>
              </w:rPr>
              <w:t>Ron Appel</w:t>
            </w:r>
            <w:r>
              <w:rPr>
                <w:rFonts w:ascii="Arial" w:hAnsi="Arial" w:cs="Arial"/>
                <w:sz w:val="20"/>
                <w:szCs w:val="20"/>
                <w:lang w:val="en-GB"/>
              </w:rPr>
              <w:tab/>
            </w:r>
          </w:p>
          <w:p w:rsidR="00A053D1" w:rsidRDefault="007B0A2E">
            <w:pPr>
              <w:tabs>
                <w:tab w:val="left" w:pos="4536"/>
              </w:tabs>
              <w:spacing w:line="276" w:lineRule="auto"/>
              <w:jc w:val="both"/>
              <w:rPr>
                <w:rFonts w:ascii="Arial" w:hAnsi="Arial" w:cs="Arial"/>
                <w:sz w:val="20"/>
                <w:szCs w:val="20"/>
                <w:lang w:val="en-GB"/>
              </w:rPr>
            </w:pPr>
            <w:r>
              <w:rPr>
                <w:rFonts w:ascii="Arial" w:hAnsi="Arial" w:cs="Arial"/>
                <w:sz w:val="20"/>
                <w:szCs w:val="20"/>
                <w:lang w:val="en-GB"/>
              </w:rPr>
              <w:t>SIB Executive Director</w:t>
            </w:r>
          </w:p>
          <w:p w:rsidR="00A053D1" w:rsidRDefault="007B0A2E">
            <w:pPr>
              <w:tabs>
                <w:tab w:val="left" w:pos="4536"/>
              </w:tabs>
              <w:spacing w:line="276" w:lineRule="auto"/>
              <w:jc w:val="both"/>
              <w:rPr>
                <w:rFonts w:ascii="Arial" w:hAnsi="Arial" w:cs="Arial"/>
                <w:b/>
                <w:sz w:val="20"/>
                <w:szCs w:val="20"/>
                <w:lang w:val="en-GB" w:eastAsia="fr-FR"/>
              </w:rPr>
            </w:pPr>
            <w:r>
              <w:rPr>
                <w:rFonts w:ascii="Arial" w:hAnsi="Arial" w:cs="Arial"/>
                <w:sz w:val="20"/>
                <w:szCs w:val="20"/>
                <w:lang w:val="en-GB"/>
              </w:rPr>
              <w:t>Date:</w:t>
            </w:r>
            <w:r>
              <w:rPr>
                <w:rFonts w:ascii="Arial" w:hAnsi="Arial" w:cs="Arial"/>
                <w:b/>
                <w:sz w:val="20"/>
                <w:szCs w:val="20"/>
                <w:lang w:val="en-GB" w:eastAsia="fr-FR"/>
              </w:rPr>
              <w:t xml:space="preserve"> </w:t>
            </w:r>
          </w:p>
        </w:tc>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lang w:val="en-US"/>
              </w:rPr>
              <w:t xml:space="preserve">Heinz </w:t>
            </w:r>
            <w:proofErr w:type="spellStart"/>
            <w:r>
              <w:rPr>
                <w:rFonts w:ascii="Arial" w:hAnsi="Arial" w:cs="Arial"/>
                <w:sz w:val="20"/>
                <w:szCs w:val="20"/>
                <w:lang w:val="en-US"/>
              </w:rPr>
              <w:t>Stockinger</w:t>
            </w:r>
            <w:proofErr w:type="spellEnd"/>
            <w:r>
              <w:rPr>
                <w:rFonts w:ascii="Arial" w:hAnsi="Arial" w:cs="Arial"/>
                <w:sz w:val="20"/>
                <w:szCs w:val="20"/>
                <w:lang w:val="en-US"/>
              </w:rPr>
              <w:tab/>
            </w:r>
          </w:p>
          <w:p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 xml:space="preserve">Head of Core-IT </w:t>
            </w:r>
          </w:p>
          <w:p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r w:rsidR="00A053D1">
        <w:tc>
          <w:tcPr>
            <w:tcW w:w="9010" w:type="dxa"/>
            <w:gridSpan w:val="2"/>
          </w:tcPr>
          <w:p w:rsidR="00A053D1" w:rsidRDefault="00A053D1">
            <w:pPr>
              <w:tabs>
                <w:tab w:val="left" w:pos="3119"/>
                <w:tab w:val="left" w:pos="4536"/>
                <w:tab w:val="left" w:pos="7513"/>
              </w:tabs>
              <w:spacing w:line="276" w:lineRule="auto"/>
              <w:jc w:val="both"/>
              <w:rPr>
                <w:rFonts w:ascii="Arial" w:hAnsi="Arial" w:cs="Arial"/>
                <w:b/>
                <w:sz w:val="20"/>
                <w:szCs w:val="20"/>
                <w:lang w:val="en-US"/>
              </w:rPr>
            </w:pPr>
          </w:p>
          <w:p w:rsidR="00A053D1" w:rsidRDefault="00A053D1">
            <w:pPr>
              <w:tabs>
                <w:tab w:val="left" w:pos="3119"/>
                <w:tab w:val="left" w:pos="4536"/>
                <w:tab w:val="left" w:pos="7513"/>
              </w:tabs>
              <w:spacing w:line="276" w:lineRule="auto"/>
              <w:jc w:val="both"/>
              <w:rPr>
                <w:rFonts w:ascii="Arial" w:hAnsi="Arial" w:cs="Arial"/>
                <w:b/>
                <w:sz w:val="20"/>
                <w:szCs w:val="20"/>
                <w:lang w:val="en-US"/>
              </w:rPr>
            </w:pPr>
          </w:p>
          <w:p w:rsidR="00A053D1" w:rsidRDefault="007B0A2E">
            <w:pPr>
              <w:spacing w:line="276" w:lineRule="auto"/>
              <w:rPr>
                <w:rFonts w:ascii="Arial" w:hAnsi="Arial" w:cs="Arial"/>
                <w:sz w:val="20"/>
                <w:szCs w:val="20"/>
                <w:lang w:val="en-US" w:eastAsia="fr-FR"/>
              </w:rPr>
            </w:pPr>
            <w:r>
              <w:rPr>
                <w:rFonts w:ascii="Arial" w:hAnsi="Arial" w:cs="Arial"/>
                <w:b/>
                <w:sz w:val="20"/>
                <w:szCs w:val="20"/>
                <w:lang w:val="en-US" w:eastAsia="fr-FR"/>
              </w:rPr>
              <w:t>[</w:t>
            </w:r>
            <w:r>
              <w:rPr>
                <w:rFonts w:ascii="Arial" w:hAnsi="Arial" w:cs="Arial"/>
                <w:sz w:val="20"/>
                <w:szCs w:val="20"/>
                <w:highlight w:val="yellow"/>
                <w:lang w:val="en-US" w:eastAsia="fr-FR"/>
              </w:rPr>
              <w:t>or</w:t>
            </w:r>
            <w:r>
              <w:rPr>
                <w:rFonts w:ascii="Arial" w:hAnsi="Arial" w:cs="Arial"/>
                <w:b/>
                <w:sz w:val="20"/>
                <w:szCs w:val="20"/>
                <w:lang w:val="en-US" w:eastAsia="fr-FR"/>
              </w:rPr>
              <w:t>]</w:t>
            </w:r>
            <w:r>
              <w:rPr>
                <w:rFonts w:ascii="Arial" w:hAnsi="Arial" w:cs="Arial"/>
                <w:sz w:val="20"/>
                <w:szCs w:val="20"/>
                <w:lang w:val="en-US" w:eastAsia="fr-FR"/>
              </w:rPr>
              <w:t xml:space="preserve">, </w:t>
            </w:r>
          </w:p>
          <w:p w:rsidR="00A053D1" w:rsidRDefault="00A053D1">
            <w:pPr>
              <w:tabs>
                <w:tab w:val="left" w:pos="3119"/>
                <w:tab w:val="left" w:pos="4536"/>
                <w:tab w:val="left" w:pos="7513"/>
              </w:tabs>
              <w:spacing w:line="276" w:lineRule="auto"/>
              <w:jc w:val="both"/>
              <w:rPr>
                <w:rFonts w:ascii="Arial" w:hAnsi="Arial" w:cs="Arial"/>
                <w:b/>
                <w:sz w:val="20"/>
                <w:szCs w:val="20"/>
                <w:lang w:val="en-US"/>
              </w:rPr>
            </w:pPr>
          </w:p>
          <w:p w:rsidR="00A053D1" w:rsidRDefault="007B0A2E">
            <w:pPr>
              <w:tabs>
                <w:tab w:val="left" w:pos="3119"/>
                <w:tab w:val="left" w:pos="4536"/>
                <w:tab w:val="left" w:pos="7513"/>
              </w:tabs>
              <w:spacing w:line="276" w:lineRule="auto"/>
              <w:jc w:val="both"/>
              <w:rPr>
                <w:rFonts w:ascii="Arial" w:hAnsi="Arial" w:cs="Arial"/>
                <w:b/>
                <w:sz w:val="20"/>
                <w:szCs w:val="20"/>
                <w:lang w:val="en-US"/>
              </w:rPr>
            </w:pPr>
            <w:r>
              <w:rPr>
                <w:rFonts w:ascii="Arial" w:hAnsi="Arial" w:cs="Arial"/>
                <w:b/>
                <w:sz w:val="20"/>
                <w:szCs w:val="20"/>
                <w:lang w:val="en-US"/>
              </w:rPr>
              <w:t xml:space="preserve">University of Basel </w:t>
            </w:r>
            <w:r>
              <w:rPr>
                <w:rFonts w:ascii="Arial" w:hAnsi="Arial" w:cs="Arial"/>
                <w:sz w:val="20"/>
                <w:szCs w:val="20"/>
                <w:lang w:val="en-US"/>
              </w:rPr>
              <w:t>(</w:t>
            </w:r>
            <w:proofErr w:type="spellStart"/>
            <w:r>
              <w:rPr>
                <w:rFonts w:ascii="Arial" w:hAnsi="Arial" w:cs="Arial"/>
                <w:sz w:val="20"/>
                <w:szCs w:val="20"/>
                <w:lang w:val="en-US"/>
              </w:rPr>
              <w:t>sciCORE</w:t>
            </w:r>
            <w:proofErr w:type="spellEnd"/>
            <w:r>
              <w:rPr>
                <w:rFonts w:ascii="Arial" w:hAnsi="Arial" w:cs="Arial"/>
                <w:sz w:val="20"/>
                <w:szCs w:val="20"/>
                <w:lang w:val="en-US"/>
              </w:rPr>
              <w:t xml:space="preserve">, Basel </w:t>
            </w:r>
            <w:proofErr w:type="spellStart"/>
            <w:r>
              <w:rPr>
                <w:rFonts w:ascii="Arial" w:hAnsi="Arial" w:cs="Arial"/>
                <w:sz w:val="20"/>
                <w:szCs w:val="20"/>
                <w:lang w:val="en-US"/>
              </w:rPr>
              <w:t>BioMed</w:t>
            </w:r>
            <w:proofErr w:type="spellEnd"/>
            <w:r>
              <w:rPr>
                <w:rFonts w:ascii="Arial" w:hAnsi="Arial" w:cs="Arial"/>
                <w:sz w:val="20"/>
                <w:szCs w:val="20"/>
                <w:lang w:val="en-US"/>
              </w:rPr>
              <w:t>-IT Node)</w:t>
            </w:r>
          </w:p>
        </w:tc>
      </w:tr>
      <w:tr w:rsidR="00A053D1">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Torsten Schwede</w:t>
            </w:r>
          </w:p>
          <w:p w:rsidR="00A053D1" w:rsidRDefault="007B0A2E">
            <w:pPr>
              <w:rPr>
                <w:rFonts w:ascii="Arial" w:hAnsi="Arial" w:cs="Arial"/>
                <w:b/>
                <w:sz w:val="20"/>
                <w:szCs w:val="20"/>
                <w:lang w:val="en-US"/>
              </w:rPr>
            </w:pPr>
            <w:r>
              <w:rPr>
                <w:rFonts w:ascii="Arial" w:hAnsi="Arial" w:cs="Arial"/>
                <w:sz w:val="20"/>
                <w:szCs w:val="20"/>
                <w:lang w:val="en-US"/>
              </w:rPr>
              <w:t>Vice President for Research, University of Basel</w:t>
            </w:r>
            <w:r>
              <w:rPr>
                <w:rFonts w:ascii="Arial" w:hAnsi="Arial" w:cs="Arial"/>
                <w:sz w:val="20"/>
                <w:szCs w:val="20"/>
                <w:lang w:val="en-US"/>
              </w:rPr>
              <w:br/>
              <w:t>Date:</w:t>
            </w:r>
          </w:p>
          <w:p w:rsidR="00A053D1" w:rsidRDefault="00A053D1">
            <w:pPr>
              <w:tabs>
                <w:tab w:val="left" w:pos="4536"/>
              </w:tabs>
              <w:spacing w:line="276" w:lineRule="auto"/>
              <w:jc w:val="both"/>
              <w:rPr>
                <w:rFonts w:ascii="Arial" w:hAnsi="Arial" w:cs="Arial"/>
                <w:b/>
                <w:sz w:val="20"/>
                <w:szCs w:val="20"/>
                <w:lang w:val="en-US" w:eastAsia="fr-FR"/>
              </w:rPr>
            </w:pPr>
          </w:p>
        </w:tc>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 xml:space="preserve">Thierry Sengstag </w:t>
            </w:r>
          </w:p>
          <w:p w:rsidR="00A053D1" w:rsidRDefault="007B0A2E">
            <w:pPr>
              <w:tabs>
                <w:tab w:val="left" w:pos="3119"/>
                <w:tab w:val="left" w:pos="4536"/>
                <w:tab w:val="left" w:pos="7513"/>
              </w:tabs>
              <w:spacing w:line="276" w:lineRule="auto"/>
              <w:jc w:val="both"/>
              <w:rPr>
                <w:rFonts w:ascii="Arial" w:hAnsi="Arial" w:cs="Arial"/>
                <w:sz w:val="20"/>
                <w:szCs w:val="20"/>
                <w:lang w:val="en-US"/>
              </w:rPr>
            </w:pPr>
            <w:r>
              <w:rPr>
                <w:rFonts w:ascii="Arial" w:hAnsi="Arial" w:cs="Arial"/>
                <w:sz w:val="20"/>
                <w:szCs w:val="20"/>
                <w:lang w:val="en-US"/>
              </w:rPr>
              <w:t xml:space="preserve">Associate director – </w:t>
            </w:r>
            <w:proofErr w:type="spellStart"/>
            <w:r>
              <w:rPr>
                <w:rFonts w:ascii="Arial" w:hAnsi="Arial" w:cs="Arial"/>
                <w:sz w:val="20"/>
                <w:szCs w:val="20"/>
                <w:lang w:val="en-US"/>
              </w:rPr>
              <w:t>sciCORE</w:t>
            </w:r>
            <w:proofErr w:type="spellEnd"/>
            <w:r>
              <w:rPr>
                <w:rFonts w:ascii="Arial" w:hAnsi="Arial" w:cs="Arial"/>
                <w:sz w:val="20"/>
                <w:szCs w:val="20"/>
                <w:lang w:val="en-US"/>
              </w:rPr>
              <w:t xml:space="preserve">, Center for Scientific Computing </w:t>
            </w:r>
          </w:p>
          <w:p w:rsidR="00A053D1" w:rsidRDefault="007B0A2E">
            <w:pPr>
              <w:tabs>
                <w:tab w:val="left" w:pos="3119"/>
                <w:tab w:val="left" w:pos="4536"/>
                <w:tab w:val="left" w:pos="7513"/>
              </w:tabs>
              <w:spacing w:line="276" w:lineRule="auto"/>
              <w:jc w:val="both"/>
              <w:rPr>
                <w:rFonts w:ascii="Arial" w:hAnsi="Arial" w:cs="Arial"/>
                <w:sz w:val="20"/>
                <w:szCs w:val="20"/>
              </w:rPr>
            </w:pPr>
            <w:r>
              <w:rPr>
                <w:rFonts w:ascii="Arial" w:hAnsi="Arial" w:cs="Arial"/>
                <w:sz w:val="20"/>
                <w:szCs w:val="20"/>
              </w:rPr>
              <w:t>Date:</w:t>
            </w:r>
          </w:p>
          <w:p w:rsidR="00A053D1" w:rsidRDefault="00A053D1">
            <w:pPr>
              <w:tabs>
                <w:tab w:val="left" w:pos="4536"/>
              </w:tabs>
              <w:spacing w:line="276" w:lineRule="auto"/>
              <w:jc w:val="both"/>
              <w:rPr>
                <w:rFonts w:ascii="Arial" w:hAnsi="Arial" w:cs="Arial"/>
                <w:b/>
                <w:sz w:val="20"/>
                <w:szCs w:val="20"/>
                <w:lang w:eastAsia="fr-FR"/>
              </w:rPr>
            </w:pPr>
          </w:p>
        </w:tc>
      </w:tr>
      <w:tr w:rsidR="00A053D1">
        <w:tc>
          <w:tcPr>
            <w:tcW w:w="9010" w:type="dxa"/>
            <w:gridSpan w:val="2"/>
          </w:tcPr>
          <w:p w:rsidR="00A053D1" w:rsidRDefault="00A053D1">
            <w:pPr>
              <w:tabs>
                <w:tab w:val="left" w:pos="4536"/>
              </w:tabs>
              <w:spacing w:line="276" w:lineRule="auto"/>
              <w:jc w:val="both"/>
              <w:rPr>
                <w:rFonts w:ascii="Arial" w:hAnsi="Arial" w:cs="Arial"/>
                <w:b/>
                <w:sz w:val="20"/>
                <w:szCs w:val="20"/>
                <w:lang w:val="en-US" w:eastAsia="fr-FR"/>
              </w:rPr>
            </w:pPr>
          </w:p>
          <w:p w:rsidR="00A053D1" w:rsidRDefault="007B0A2E">
            <w:pPr>
              <w:spacing w:line="276" w:lineRule="auto"/>
              <w:rPr>
                <w:rFonts w:ascii="Arial" w:hAnsi="Arial" w:cs="Arial"/>
                <w:sz w:val="20"/>
                <w:szCs w:val="20"/>
                <w:lang w:val="en-US" w:eastAsia="fr-FR"/>
              </w:rPr>
            </w:pPr>
            <w:r>
              <w:rPr>
                <w:rFonts w:ascii="Arial" w:hAnsi="Arial" w:cs="Arial"/>
                <w:b/>
                <w:sz w:val="20"/>
                <w:szCs w:val="20"/>
                <w:lang w:val="en-US" w:eastAsia="fr-FR"/>
              </w:rPr>
              <w:t>[</w:t>
            </w:r>
            <w:r>
              <w:rPr>
                <w:rFonts w:ascii="Arial" w:hAnsi="Arial" w:cs="Arial"/>
                <w:sz w:val="20"/>
                <w:szCs w:val="20"/>
                <w:highlight w:val="yellow"/>
                <w:lang w:val="en-US" w:eastAsia="fr-FR"/>
              </w:rPr>
              <w:t>or</w:t>
            </w:r>
            <w:r>
              <w:rPr>
                <w:rFonts w:ascii="Arial" w:hAnsi="Arial" w:cs="Arial"/>
                <w:b/>
                <w:sz w:val="20"/>
                <w:szCs w:val="20"/>
                <w:lang w:val="en-US" w:eastAsia="fr-FR"/>
              </w:rPr>
              <w:t>]</w:t>
            </w:r>
            <w:r>
              <w:rPr>
                <w:rFonts w:ascii="Arial" w:hAnsi="Arial" w:cs="Arial"/>
                <w:sz w:val="20"/>
                <w:szCs w:val="20"/>
                <w:lang w:val="en-US" w:eastAsia="fr-FR"/>
              </w:rPr>
              <w:t xml:space="preserve">, </w:t>
            </w:r>
          </w:p>
          <w:p w:rsidR="00A053D1" w:rsidRDefault="00A053D1">
            <w:pPr>
              <w:tabs>
                <w:tab w:val="left" w:pos="4536"/>
              </w:tabs>
              <w:spacing w:line="276" w:lineRule="auto"/>
              <w:jc w:val="both"/>
              <w:rPr>
                <w:rFonts w:ascii="Arial" w:hAnsi="Arial" w:cs="Arial"/>
                <w:b/>
                <w:sz w:val="20"/>
                <w:szCs w:val="20"/>
                <w:lang w:val="en-US" w:eastAsia="fr-FR"/>
              </w:rPr>
            </w:pPr>
          </w:p>
          <w:p w:rsidR="00A053D1" w:rsidRDefault="007B0A2E">
            <w:pPr>
              <w:tabs>
                <w:tab w:val="left" w:pos="4536"/>
              </w:tabs>
              <w:spacing w:line="276" w:lineRule="auto"/>
              <w:jc w:val="both"/>
              <w:rPr>
                <w:rFonts w:ascii="Arial" w:hAnsi="Arial" w:cs="Arial"/>
                <w:b/>
                <w:sz w:val="20"/>
                <w:szCs w:val="20"/>
                <w:lang w:val="en-US" w:eastAsia="fr-FR"/>
              </w:rPr>
            </w:pPr>
            <w:r>
              <w:rPr>
                <w:rFonts w:ascii="Arial" w:hAnsi="Arial" w:cs="Arial"/>
                <w:b/>
                <w:sz w:val="20"/>
                <w:szCs w:val="20"/>
                <w:lang w:val="en-US" w:eastAsia="fr-FR"/>
              </w:rPr>
              <w:t xml:space="preserve">ETH Zürich </w:t>
            </w:r>
            <w:r>
              <w:rPr>
                <w:rFonts w:ascii="Arial" w:hAnsi="Arial" w:cs="Arial"/>
                <w:sz w:val="20"/>
                <w:szCs w:val="20"/>
                <w:lang w:val="en-US" w:eastAsia="fr-FR"/>
              </w:rPr>
              <w:t>(Leonhard Med, SIS, ETHZ</w:t>
            </w:r>
            <w:r>
              <w:rPr>
                <w:rFonts w:ascii="Arial" w:hAnsi="Arial" w:cs="Arial"/>
                <w:sz w:val="20"/>
                <w:szCs w:val="20"/>
                <w:lang w:val="en-US"/>
              </w:rPr>
              <w:t xml:space="preserve"> BioMedIT Node</w:t>
            </w:r>
            <w:r>
              <w:rPr>
                <w:rFonts w:ascii="Arial" w:hAnsi="Arial" w:cs="Arial"/>
                <w:sz w:val="20"/>
                <w:szCs w:val="20"/>
                <w:lang w:val="en-US" w:eastAsia="fr-FR"/>
              </w:rPr>
              <w:t>)</w:t>
            </w:r>
          </w:p>
          <w:p w:rsidR="00A053D1" w:rsidRDefault="00A053D1">
            <w:pPr>
              <w:tabs>
                <w:tab w:val="left" w:pos="4536"/>
              </w:tabs>
              <w:spacing w:line="276" w:lineRule="auto"/>
              <w:jc w:val="both"/>
              <w:rPr>
                <w:rFonts w:ascii="Arial" w:hAnsi="Arial" w:cs="Arial"/>
                <w:b/>
                <w:sz w:val="20"/>
                <w:szCs w:val="20"/>
                <w:lang w:val="en-US" w:eastAsia="fr-FR"/>
              </w:rPr>
            </w:pPr>
          </w:p>
        </w:tc>
      </w:tr>
      <w:tr w:rsidR="00A053D1">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lang w:val="en-US"/>
              </w:rPr>
              <w:t>Bernd Rinn</w:t>
            </w:r>
            <w:r>
              <w:rPr>
                <w:rFonts w:ascii="Arial" w:hAnsi="Arial" w:cs="Arial"/>
                <w:sz w:val="20"/>
                <w:szCs w:val="20"/>
                <w:lang w:val="en-US"/>
              </w:rPr>
              <w:tab/>
            </w:r>
          </w:p>
          <w:p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Head of SIS</w:t>
            </w:r>
          </w:p>
          <w:p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 xml:space="preserve">Date: </w:t>
            </w:r>
          </w:p>
        </w:tc>
        <w:tc>
          <w:tcPr>
            <w:tcW w:w="4505" w:type="dxa"/>
          </w:tcPr>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A053D1">
            <w:pPr>
              <w:tabs>
                <w:tab w:val="left" w:pos="3119"/>
                <w:tab w:val="left" w:pos="4536"/>
                <w:tab w:val="left" w:pos="7513"/>
              </w:tabs>
              <w:spacing w:line="276" w:lineRule="auto"/>
              <w:jc w:val="both"/>
              <w:rPr>
                <w:rFonts w:ascii="Arial" w:hAnsi="Arial" w:cs="Arial"/>
                <w:sz w:val="20"/>
                <w:szCs w:val="20"/>
                <w:u w:val="single"/>
                <w:lang w:val="en-US"/>
              </w:rPr>
            </w:pP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r>
              <w:rPr>
                <w:rFonts w:ascii="Arial" w:hAnsi="Arial" w:cs="Arial"/>
                <w:sz w:val="20"/>
                <w:szCs w:val="20"/>
                <w:u w:val="single"/>
                <w:lang w:val="en-US"/>
              </w:rPr>
              <w:tab/>
            </w:r>
          </w:p>
          <w:p w:rsidR="00A053D1" w:rsidRDefault="007B0A2E">
            <w:pPr>
              <w:tabs>
                <w:tab w:val="left" w:pos="3119"/>
                <w:tab w:val="left" w:pos="4536"/>
                <w:tab w:val="left" w:pos="7513"/>
              </w:tabs>
              <w:spacing w:line="276" w:lineRule="auto"/>
              <w:jc w:val="both"/>
              <w:rPr>
                <w:rFonts w:ascii="Arial" w:hAnsi="Arial" w:cs="Arial"/>
                <w:sz w:val="20"/>
                <w:szCs w:val="20"/>
                <w:u w:val="single"/>
                <w:lang w:val="en-US"/>
              </w:rPr>
            </w:pPr>
            <w:proofErr w:type="spellStart"/>
            <w:r>
              <w:rPr>
                <w:rFonts w:ascii="Arial" w:hAnsi="Arial" w:cs="Arial"/>
                <w:sz w:val="20"/>
                <w:szCs w:val="20"/>
                <w:lang w:val="en-US"/>
              </w:rPr>
              <w:t>Rui</w:t>
            </w:r>
            <w:proofErr w:type="spellEnd"/>
            <w:r>
              <w:rPr>
                <w:rFonts w:ascii="Arial" w:hAnsi="Arial" w:cs="Arial"/>
                <w:sz w:val="20"/>
                <w:szCs w:val="20"/>
                <w:lang w:val="en-US"/>
              </w:rPr>
              <w:t xml:space="preserve"> </w:t>
            </w:r>
            <w:proofErr w:type="spellStart"/>
            <w:r>
              <w:rPr>
                <w:rFonts w:ascii="Arial" w:hAnsi="Arial" w:cs="Arial"/>
                <w:sz w:val="20"/>
                <w:szCs w:val="20"/>
                <w:lang w:val="en-US"/>
              </w:rPr>
              <w:t>Brandao</w:t>
            </w:r>
            <w:proofErr w:type="spellEnd"/>
            <w:r>
              <w:rPr>
                <w:rFonts w:ascii="Arial" w:hAnsi="Arial" w:cs="Arial"/>
                <w:sz w:val="20"/>
                <w:szCs w:val="20"/>
                <w:lang w:val="en-US"/>
              </w:rPr>
              <w:tab/>
            </w:r>
          </w:p>
          <w:p w:rsidR="00A053D1" w:rsidRDefault="007B0A2E">
            <w:pPr>
              <w:tabs>
                <w:tab w:val="left" w:pos="4536"/>
              </w:tabs>
              <w:spacing w:line="276" w:lineRule="auto"/>
              <w:jc w:val="both"/>
              <w:rPr>
                <w:rFonts w:ascii="Arial" w:hAnsi="Arial" w:cs="Arial"/>
                <w:sz w:val="20"/>
                <w:szCs w:val="20"/>
                <w:lang w:val="en-US"/>
              </w:rPr>
            </w:pPr>
            <w:r>
              <w:rPr>
                <w:rFonts w:ascii="Arial" w:hAnsi="Arial" w:cs="Arial"/>
                <w:sz w:val="20"/>
                <w:szCs w:val="20"/>
                <w:lang w:val="en-US"/>
              </w:rPr>
              <w:t>Head of IT-Services</w:t>
            </w:r>
          </w:p>
          <w:p w:rsidR="00A053D1" w:rsidRDefault="007B0A2E">
            <w:pPr>
              <w:tabs>
                <w:tab w:val="left" w:pos="4536"/>
              </w:tabs>
              <w:spacing w:line="276" w:lineRule="auto"/>
              <w:jc w:val="both"/>
              <w:rPr>
                <w:rFonts w:ascii="Arial" w:hAnsi="Arial" w:cs="Arial"/>
                <w:b/>
                <w:sz w:val="20"/>
                <w:szCs w:val="20"/>
                <w:lang w:eastAsia="fr-FR"/>
              </w:rPr>
            </w:pPr>
            <w:r>
              <w:rPr>
                <w:rFonts w:ascii="Arial" w:hAnsi="Arial" w:cs="Arial"/>
                <w:sz w:val="20"/>
                <w:szCs w:val="20"/>
              </w:rPr>
              <w:t>Date:</w:t>
            </w:r>
          </w:p>
        </w:tc>
      </w:tr>
    </w:tbl>
    <w:p w:rsidR="00A053D1" w:rsidRDefault="007B0A2E">
      <w:pPr>
        <w:rPr>
          <w:rFonts w:ascii="Arial" w:hAnsi="Arial" w:cs="Arial"/>
          <w:b/>
          <w:sz w:val="20"/>
          <w:szCs w:val="20"/>
          <w:lang w:val="en-GB"/>
        </w:rPr>
      </w:pPr>
      <w:r>
        <w:rPr>
          <w:rFonts w:ascii="Arial" w:hAnsi="Arial" w:cs="Arial"/>
          <w:b/>
          <w:sz w:val="20"/>
          <w:szCs w:val="20"/>
          <w:lang w:val="en-GB"/>
        </w:rPr>
        <w:br w:type="page"/>
      </w:r>
      <w:bookmarkStart w:id="98" w:name="_Ref518994290"/>
      <w:r>
        <w:rPr>
          <w:rFonts w:ascii="Arial" w:hAnsi="Arial" w:cs="Arial"/>
          <w:b/>
          <w:sz w:val="20"/>
          <w:szCs w:val="20"/>
          <w:lang w:val="en-GB"/>
        </w:rPr>
        <w:lastRenderedPageBreak/>
        <w:t>Appendix 1 – Description of Data and Service</w:t>
      </w:r>
    </w:p>
    <w:p w:rsidR="00A053D1" w:rsidRDefault="00A053D1">
      <w:pPr>
        <w:rPr>
          <w:rFonts w:ascii="Arial" w:hAnsi="Arial" w:cs="Arial"/>
          <w:b/>
          <w:sz w:val="20"/>
          <w:szCs w:val="20"/>
          <w:lang w:val="en-GB"/>
        </w:rPr>
      </w:pPr>
    </w:p>
    <w:p w:rsidR="00A053D1" w:rsidRDefault="007B0A2E">
      <w:pPr>
        <w:pBdr>
          <w:top w:val="single" w:sz="4" w:space="1" w:color="auto"/>
          <w:left w:val="single" w:sz="4" w:space="4" w:color="auto"/>
          <w:bottom w:val="single" w:sz="4" w:space="1" w:color="auto"/>
          <w:right w:val="single" w:sz="4" w:space="4" w:color="auto"/>
        </w:pBdr>
        <w:rPr>
          <w:rFonts w:ascii="Arial" w:hAnsi="Arial" w:cs="Arial"/>
          <w:bCs/>
          <w:i/>
          <w:iCs/>
          <w:sz w:val="20"/>
          <w:szCs w:val="20"/>
          <w:highlight w:val="green"/>
          <w:lang w:val="en-GB"/>
        </w:rPr>
      </w:pPr>
      <w:r>
        <w:rPr>
          <w:rFonts w:ascii="Arial" w:hAnsi="Arial" w:cs="Arial"/>
          <w:bCs/>
          <w:i/>
          <w:iCs/>
          <w:sz w:val="20"/>
          <w:szCs w:val="20"/>
          <w:highlight w:val="green"/>
          <w:lang w:val="en-GB"/>
        </w:rPr>
        <w:t>This Exhibit 1 must at least include the information provided for in Sections 2.2, 2.3, 4.1, 6 and 7.1of the DTPA.</w:t>
      </w:r>
    </w:p>
    <w:p w:rsidR="00A053D1" w:rsidRDefault="00A053D1">
      <w:pPr>
        <w:rPr>
          <w:rFonts w:ascii="Arial" w:hAnsi="Arial" w:cs="Arial"/>
          <w:b/>
          <w:sz w:val="20"/>
          <w:szCs w:val="20"/>
          <w:lang w:val="en-GB"/>
        </w:rPr>
      </w:pPr>
    </w:p>
    <w:p w:rsidR="00A053D1" w:rsidRDefault="00A053D1">
      <w:pPr>
        <w:rPr>
          <w:rFonts w:ascii="Arial" w:hAnsi="Arial" w:cs="Arial"/>
          <w:b/>
          <w:sz w:val="20"/>
          <w:szCs w:val="20"/>
          <w:lang w:val="en-GB"/>
        </w:rPr>
      </w:pPr>
    </w:p>
    <w:p w:rsidR="00A053D1" w:rsidRDefault="007B0A2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ind w:left="567" w:hanging="567"/>
        <w:contextualSpacing w:val="0"/>
        <w:rPr>
          <w:rFonts w:ascii="Arial" w:hAnsi="Arial" w:cs="Arial"/>
          <w:b/>
          <w:szCs w:val="20"/>
          <w:lang w:val="en-GB"/>
        </w:rPr>
      </w:pPr>
      <w:r>
        <w:rPr>
          <w:rFonts w:ascii="Arial" w:hAnsi="Arial" w:cs="Arial"/>
          <w:b/>
          <w:szCs w:val="20"/>
          <w:lang w:val="en-GB"/>
        </w:rPr>
        <w:t>Description and format of the Data</w:t>
      </w:r>
    </w:p>
    <w:p w:rsidR="00A053D1" w:rsidRDefault="007B0A2E">
      <w:pPr>
        <w:ind w:left="1134" w:hanging="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053D1" w:rsidRDefault="00A053D1">
      <w:pPr>
        <w:tabs>
          <w:tab w:val="left" w:pos="567"/>
        </w:tabs>
        <w:ind w:left="567"/>
        <w:rPr>
          <w:rFonts w:ascii="Arial" w:hAnsi="Arial" w:cs="Arial"/>
          <w:bCs/>
          <w:sz w:val="20"/>
          <w:szCs w:val="20"/>
          <w:lang w:val="en-GB"/>
        </w:rPr>
      </w:pPr>
    </w:p>
    <w:p w:rsidR="00A053D1" w:rsidRDefault="007B0A2E">
      <w:pPr>
        <w:pStyle w:val="Heading1"/>
        <w:tabs>
          <w:tab w:val="left" w:pos="567"/>
        </w:tabs>
        <w:spacing w:before="0" w:after="0" w:line="240" w:lineRule="auto"/>
        <w:ind w:left="567"/>
        <w:rPr>
          <w:sz w:val="20"/>
          <w:szCs w:val="20"/>
          <w:lang w:val="en-GB"/>
        </w:rPr>
      </w:pPr>
      <w:r>
        <w:rPr>
          <w:sz w:val="20"/>
          <w:szCs w:val="20"/>
          <w:u w:val="single"/>
          <w:lang w:val="en-GB"/>
        </w:rPr>
        <w:t>Categories of personal data that may be included in the Data</w:t>
      </w:r>
      <w:r>
        <w:rPr>
          <w:sz w:val="20"/>
          <w:szCs w:val="20"/>
          <w:lang w:val="en-GB"/>
        </w:rPr>
        <w:t>:</w:t>
      </w:r>
    </w:p>
    <w:p w:rsidR="00A053D1" w:rsidRDefault="007B0A2E">
      <w:pPr>
        <w:ind w:firstLine="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053D1" w:rsidRDefault="00A053D1">
      <w:pPr>
        <w:tabs>
          <w:tab w:val="left" w:pos="567"/>
        </w:tabs>
        <w:ind w:left="567"/>
        <w:rPr>
          <w:rFonts w:ascii="Arial" w:hAnsi="Arial" w:cs="Arial"/>
          <w:bCs/>
          <w:sz w:val="20"/>
          <w:szCs w:val="20"/>
          <w:lang w:val="en-GB"/>
        </w:rPr>
      </w:pPr>
    </w:p>
    <w:p w:rsidR="00A053D1" w:rsidRDefault="007B0A2E">
      <w:pPr>
        <w:pStyle w:val="Heading1"/>
        <w:tabs>
          <w:tab w:val="left" w:pos="567"/>
        </w:tabs>
        <w:spacing w:before="0" w:after="0" w:line="240" w:lineRule="auto"/>
        <w:ind w:left="567"/>
        <w:rPr>
          <w:sz w:val="20"/>
          <w:szCs w:val="20"/>
          <w:lang w:val="en-GB"/>
        </w:rPr>
      </w:pPr>
      <w:r>
        <w:rPr>
          <w:sz w:val="20"/>
          <w:szCs w:val="20"/>
          <w:u w:val="single"/>
          <w:lang w:val="en-GB"/>
        </w:rPr>
        <w:t>Categories of Data Subjects</w:t>
      </w:r>
      <w:r>
        <w:rPr>
          <w:sz w:val="20"/>
          <w:szCs w:val="20"/>
          <w:lang w:val="en-GB"/>
        </w:rPr>
        <w:t>:</w:t>
      </w:r>
    </w:p>
    <w:p w:rsidR="00A053D1" w:rsidRDefault="007B0A2E">
      <w:pPr>
        <w:ind w:firstLine="567"/>
        <w:rPr>
          <w:rFonts w:ascii="Arial" w:hAnsi="Arial" w:cs="Arial"/>
          <w:bCs/>
          <w:sz w:val="20"/>
          <w:szCs w:val="20"/>
          <w:lang w:val="en-GB"/>
        </w:rPr>
      </w:pPr>
      <w:r>
        <w:rPr>
          <w:rFonts w:ascii="Arial" w:hAnsi="Arial" w:cs="Arial"/>
          <w:bCs/>
          <w:sz w:val="20"/>
          <w:szCs w:val="20"/>
          <w:lang w:val="en-GB"/>
        </w:rPr>
        <w:t>[</w:t>
      </w:r>
      <w:r>
        <w:rPr>
          <w:rFonts w:ascii="Arial" w:hAnsi="Arial" w:cs="Arial"/>
          <w:bCs/>
          <w:sz w:val="20"/>
          <w:szCs w:val="20"/>
          <w:highlight w:val="yellow"/>
          <w:lang w:val="en-GB"/>
        </w:rPr>
        <w:t>●</w:t>
      </w:r>
      <w:r>
        <w:rPr>
          <w:rFonts w:ascii="Arial" w:hAnsi="Arial" w:cs="Arial"/>
          <w:bCs/>
          <w:sz w:val="20"/>
          <w:szCs w:val="20"/>
          <w:lang w:val="en-GB"/>
        </w:rPr>
        <w:t>]</w:t>
      </w:r>
    </w:p>
    <w:p w:rsidR="00A053D1" w:rsidRDefault="00A053D1">
      <w:pPr>
        <w:ind w:firstLine="567"/>
        <w:rPr>
          <w:rFonts w:ascii="Arial" w:hAnsi="Arial" w:cs="Arial"/>
          <w:sz w:val="20"/>
          <w:szCs w:val="20"/>
          <w:lang w:val="en-GB"/>
        </w:rPr>
      </w:pPr>
    </w:p>
    <w:p w:rsidR="00A053D1" w:rsidRDefault="00A053D1">
      <w:pPr>
        <w:ind w:left="567" w:hanging="567"/>
        <w:rPr>
          <w:rFonts w:ascii="Arial" w:hAnsi="Arial" w:cs="Arial"/>
          <w:b/>
          <w:sz w:val="20"/>
          <w:szCs w:val="20"/>
          <w:lang w:val="en-GB"/>
        </w:rPr>
      </w:pPr>
    </w:p>
    <w:p w:rsidR="00A053D1" w:rsidRDefault="007B0A2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Data to the </w:t>
      </w:r>
      <w:r>
        <w:rPr>
          <w:rFonts w:ascii="Arial" w:hAnsi="Arial" w:cs="Arial"/>
          <w:b/>
          <w:bCs/>
          <w:szCs w:val="20"/>
          <w:lang w:val="en-GB"/>
        </w:rPr>
        <w:t xml:space="preserve">BioMedIT </w:t>
      </w:r>
      <w:r>
        <w:rPr>
          <w:rFonts w:ascii="Arial" w:hAnsi="Arial" w:cs="Arial"/>
          <w:b/>
          <w:szCs w:val="20"/>
          <w:lang w:val="en-GB"/>
        </w:rPr>
        <w:t>Node</w:t>
      </w:r>
    </w:p>
    <w:p w:rsidR="00A053D1" w:rsidRDefault="00A053D1">
      <w:pPr>
        <w:pStyle w:val="ListParagraph"/>
        <w:spacing w:line="240" w:lineRule="auto"/>
        <w:ind w:left="1134" w:hanging="567"/>
        <w:rPr>
          <w:rFonts w:ascii="Arial" w:hAnsi="Arial" w:cs="Arial"/>
          <w:bCs/>
          <w:szCs w:val="20"/>
          <w:lang w:val="en-GB"/>
        </w:rPr>
      </w:pPr>
    </w:p>
    <w:p w:rsidR="00A053D1" w:rsidRDefault="007B0A2E">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053D1" w:rsidRDefault="00A053D1">
      <w:pPr>
        <w:pStyle w:val="Heading1"/>
        <w:spacing w:before="0" w:after="0" w:line="240" w:lineRule="auto"/>
        <w:ind w:left="567"/>
        <w:rPr>
          <w:sz w:val="20"/>
          <w:szCs w:val="20"/>
          <w:u w:val="single"/>
          <w:lang w:val="en-GB"/>
        </w:rPr>
      </w:pPr>
    </w:p>
    <w:p w:rsidR="00A053D1" w:rsidRDefault="007B0A2E">
      <w:pPr>
        <w:pStyle w:val="Heading1"/>
        <w:spacing w:before="0" w:after="0" w:line="240" w:lineRule="auto"/>
        <w:ind w:left="567"/>
        <w:rPr>
          <w:sz w:val="20"/>
          <w:szCs w:val="20"/>
          <w:u w:val="single"/>
          <w:lang w:val="en-GB"/>
        </w:rPr>
      </w:pPr>
      <w:r>
        <w:rPr>
          <w:sz w:val="20"/>
          <w:szCs w:val="20"/>
          <w:u w:val="single"/>
          <w:lang w:val="en-GB"/>
        </w:rPr>
        <w:t>Transfer of Data</w:t>
      </w:r>
    </w:p>
    <w:p w:rsidR="00A053D1" w:rsidRDefault="007B0A2E">
      <w:pPr>
        <w:pStyle w:val="ListParagraph"/>
        <w:spacing w:line="240" w:lineRule="auto"/>
        <w:ind w:left="567"/>
        <w:rPr>
          <w:rFonts w:ascii="Arial" w:hAnsi="Arial" w:cs="Arial"/>
          <w:bCs/>
          <w:szCs w:val="20"/>
          <w:lang w:val="en-GB"/>
        </w:rPr>
      </w:pPr>
      <w:r>
        <w:rPr>
          <w:rFonts w:ascii="Arial" w:hAnsi="Arial" w:cs="Arial"/>
          <w:bCs/>
          <w:szCs w:val="20"/>
          <w:lang w:val="en-GB"/>
        </w:rPr>
        <w:t>Data will be transferred to the BioMedIT</w:t>
      </w:r>
      <w:r>
        <w:rPr>
          <w:rFonts w:ascii="Arial" w:hAnsi="Arial" w:cs="Arial"/>
          <w:bCs/>
          <w:szCs w:val="20"/>
          <w:lang w:val="en-GB"/>
        </w:rPr>
        <w:t xml:space="preserve"> Node within a standardized and secure way, i.e. using the network-internal Data Transfer Tool. Data is stored and processed in compliance with the SPHN Information Security Policy.</w:t>
      </w:r>
    </w:p>
    <w:p w:rsidR="00A053D1" w:rsidRDefault="00A053D1">
      <w:pPr>
        <w:pStyle w:val="ListParagraph"/>
        <w:spacing w:line="240" w:lineRule="auto"/>
        <w:ind w:left="567"/>
        <w:rPr>
          <w:rFonts w:ascii="Arial" w:hAnsi="Arial" w:cs="Arial"/>
          <w:bCs/>
          <w:szCs w:val="20"/>
          <w:lang w:val="en-GB"/>
        </w:rPr>
      </w:pPr>
    </w:p>
    <w:p w:rsidR="00A053D1" w:rsidRDefault="007B0A2E">
      <w:pPr>
        <w:pStyle w:val="Heading1"/>
        <w:spacing w:before="0" w:after="0" w:line="240" w:lineRule="auto"/>
        <w:ind w:left="567"/>
        <w:rPr>
          <w:sz w:val="20"/>
          <w:szCs w:val="20"/>
          <w:u w:val="single"/>
          <w:lang w:val="en-GB"/>
        </w:rPr>
      </w:pPr>
      <w:r>
        <w:rPr>
          <w:sz w:val="20"/>
          <w:szCs w:val="20"/>
          <w:u w:val="single"/>
          <w:lang w:val="en-GB"/>
        </w:rPr>
        <w:t>Data access</w:t>
      </w:r>
    </w:p>
    <w:p w:rsidR="00A053D1" w:rsidRDefault="007B0A2E">
      <w:pPr>
        <w:pStyle w:val="ListParagraph"/>
        <w:spacing w:line="240" w:lineRule="auto"/>
        <w:ind w:left="567"/>
        <w:rPr>
          <w:rFonts w:ascii="Arial" w:hAnsi="Arial" w:cs="Arial"/>
          <w:bCs/>
          <w:szCs w:val="20"/>
          <w:lang w:val="en-GB"/>
        </w:rPr>
      </w:pPr>
      <w:r>
        <w:rPr>
          <w:rFonts w:ascii="Arial" w:hAnsi="Arial" w:cs="Arial"/>
          <w:bCs/>
          <w:szCs w:val="20"/>
          <w:lang w:val="en-GB"/>
        </w:rPr>
        <w:t>The Project Lead defines who will be authorized to access the</w:t>
      </w:r>
      <w:r>
        <w:rPr>
          <w:rFonts w:ascii="Arial" w:hAnsi="Arial" w:cs="Arial"/>
          <w:bCs/>
          <w:szCs w:val="20"/>
          <w:lang w:val="en-GB"/>
        </w:rPr>
        <w:t xml:space="preserve"> Data. Access of authorized users to the project space requires two-factor authentication. Furthermore, authorized users can only access the infrastructure from within trusted IT environments (either from within a Swiss university network, a university hos</w:t>
      </w:r>
      <w:r>
        <w:rPr>
          <w:rFonts w:ascii="Arial" w:hAnsi="Arial" w:cs="Arial"/>
          <w:bCs/>
          <w:szCs w:val="20"/>
          <w:lang w:val="en-GB"/>
        </w:rPr>
        <w:t xml:space="preserve">pital network or via VPN). </w:t>
      </w:r>
    </w:p>
    <w:p w:rsidR="00A053D1" w:rsidRDefault="00A053D1">
      <w:pPr>
        <w:spacing w:after="120"/>
        <w:rPr>
          <w:rFonts w:ascii="Arial" w:hAnsi="Arial" w:cs="Arial"/>
          <w:b/>
          <w:sz w:val="20"/>
          <w:szCs w:val="20"/>
          <w:lang w:val="en-GB"/>
        </w:rPr>
      </w:pPr>
    </w:p>
    <w:p w:rsidR="00A053D1" w:rsidRDefault="007B0A2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rsidR="00A053D1" w:rsidRDefault="007B0A2E">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053D1" w:rsidRDefault="00A053D1">
      <w:pPr>
        <w:spacing w:after="120"/>
        <w:rPr>
          <w:rFonts w:ascii="Arial" w:hAnsi="Arial" w:cs="Arial"/>
          <w:b/>
          <w:sz w:val="20"/>
          <w:szCs w:val="20"/>
          <w:lang w:val="en-GB"/>
        </w:rPr>
      </w:pPr>
    </w:p>
    <w:p w:rsidR="00A053D1" w:rsidRDefault="007B0A2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20" w:line="240" w:lineRule="auto"/>
        <w:ind w:left="567" w:hanging="567"/>
        <w:contextualSpacing w:val="0"/>
        <w:rPr>
          <w:rFonts w:ascii="Arial" w:hAnsi="Arial" w:cs="Arial"/>
          <w:b/>
          <w:szCs w:val="20"/>
          <w:lang w:val="en-GB"/>
        </w:rPr>
      </w:pPr>
      <w:r>
        <w:rPr>
          <w:rFonts w:ascii="Arial" w:hAnsi="Arial" w:cs="Arial"/>
          <w:b/>
          <w:szCs w:val="20"/>
          <w:lang w:val="en-GB"/>
        </w:rPr>
        <w:t>Main Point of Contact of Provider (MPOC)</w:t>
      </w:r>
    </w:p>
    <w:p w:rsidR="00A053D1" w:rsidRDefault="00A053D1">
      <w:pPr>
        <w:spacing w:after="120"/>
        <w:rPr>
          <w:rFonts w:ascii="Arial" w:hAnsi="Arial" w:cs="Arial"/>
          <w:b/>
          <w:sz w:val="20"/>
          <w:szCs w:val="20"/>
          <w:lang w:val="en-GB"/>
        </w:rPr>
      </w:pPr>
    </w:p>
    <w:p w:rsidR="00A053D1" w:rsidRDefault="007B0A2E">
      <w:pPr>
        <w:pStyle w:val="ListParagraph"/>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A053D1" w:rsidRDefault="007B0A2E">
      <w:pPr>
        <w:rPr>
          <w:rFonts w:ascii="Arial" w:hAnsi="Arial" w:cs="Arial"/>
          <w:b/>
          <w:sz w:val="20"/>
          <w:szCs w:val="20"/>
          <w:lang w:val="en-GB"/>
        </w:rPr>
      </w:pPr>
      <w:r>
        <w:rPr>
          <w:rFonts w:ascii="Arial" w:hAnsi="Arial" w:cs="Arial"/>
          <w:b/>
          <w:sz w:val="20"/>
          <w:szCs w:val="20"/>
          <w:lang w:val="en-GB"/>
        </w:rPr>
        <w:br w:type="page"/>
      </w:r>
    </w:p>
    <w:p w:rsidR="00A053D1" w:rsidRDefault="007B0A2E">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Pr>
          <w:rFonts w:ascii="Arial" w:hAnsi="Arial" w:cs="Arial"/>
          <w:b/>
          <w:sz w:val="20"/>
          <w:szCs w:val="20"/>
          <w:lang w:val="en-GB"/>
        </w:rPr>
        <w:lastRenderedPageBreak/>
        <w:t xml:space="preserve">Appendix 2 – </w:t>
      </w:r>
      <w:r>
        <w:rPr>
          <w:rFonts w:ascii="Arial" w:hAnsi="Arial" w:cs="Arial"/>
          <w:b/>
          <w:sz w:val="20"/>
          <w:szCs w:val="20"/>
        </w:rPr>
        <w:t>Minimal Security Requirements</w:t>
      </w:r>
    </w:p>
    <w:p w:rsidR="00A053D1" w:rsidRDefault="00A053D1">
      <w:pPr>
        <w:rPr>
          <w:rFonts w:ascii="Arial" w:eastAsia="Calibri" w:hAnsi="Arial" w:cs="Arial"/>
          <w:sz w:val="20"/>
          <w:szCs w:val="20"/>
          <w:lang w:val="en-GB"/>
        </w:rPr>
      </w:pPr>
    </w:p>
    <w:p w:rsidR="00A053D1" w:rsidRDefault="007B0A2E">
      <w:pPr>
        <w:spacing w:line="276" w:lineRule="auto"/>
        <w:jc w:val="both"/>
        <w:rPr>
          <w:rFonts w:ascii="Arial" w:hAnsi="Arial" w:cs="Arial"/>
          <w:sz w:val="20"/>
          <w:szCs w:val="20"/>
        </w:rPr>
      </w:pPr>
      <w:r>
        <w:rPr>
          <w:rFonts w:ascii="Arial" w:hAnsi="Arial" w:cs="Arial"/>
          <w:sz w:val="20"/>
          <w:szCs w:val="20"/>
          <w:lang w:val="en-GB"/>
        </w:rPr>
        <w:t xml:space="preserve">The BioMedIT Node shall </w:t>
      </w:r>
      <w:r>
        <w:rPr>
          <w:rFonts w:ascii="Arial" w:hAnsi="Arial" w:cs="Arial"/>
          <w:sz w:val="20"/>
          <w:szCs w:val="20"/>
        </w:rPr>
        <w:t xml:space="preserve">ensure that the </w:t>
      </w:r>
      <w:r>
        <w:rPr>
          <w:rFonts w:ascii="Arial" w:hAnsi="Arial" w:cs="Arial"/>
          <w:sz w:val="20"/>
          <w:szCs w:val="20"/>
          <w:lang w:val="en-GB"/>
        </w:rPr>
        <w:t>technical and organisational measures</w:t>
      </w:r>
      <w:r>
        <w:rPr>
          <w:rFonts w:ascii="Arial" w:hAnsi="Arial" w:cs="Arial"/>
          <w:sz w:val="20"/>
          <w:szCs w:val="20"/>
        </w:rPr>
        <w:t xml:space="preserve"> it provides are sufficient to </w:t>
      </w:r>
      <w:r>
        <w:rPr>
          <w:rFonts w:ascii="Arial" w:hAnsi="Arial" w:cs="Arial"/>
          <w:sz w:val="20"/>
          <w:szCs w:val="20"/>
          <w:lang w:val="en-GB"/>
        </w:rPr>
        <w:t>guarantee the confidentiality, integrity, availability and resilience of the systems with regard to processing of data. In particular, the BioMedIT Node must:</w:t>
      </w:r>
    </w:p>
    <w:p w:rsidR="00A053D1" w:rsidRDefault="00A053D1">
      <w:pPr>
        <w:spacing w:line="276" w:lineRule="auto"/>
        <w:jc w:val="both"/>
        <w:rPr>
          <w:rFonts w:ascii="Arial" w:hAnsi="Arial" w:cs="Arial"/>
          <w:sz w:val="20"/>
          <w:szCs w:val="20"/>
          <w:lang w:val="en-GB"/>
        </w:rPr>
      </w:pP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unautho</w:t>
      </w:r>
      <w:r>
        <w:rPr>
          <w:rFonts w:ascii="Arial" w:eastAsia="Times New Roman" w:hAnsi="Arial" w:cs="Arial"/>
          <w:szCs w:val="20"/>
          <w:lang w:val="en-GB"/>
        </w:rPr>
        <w:t xml:space="preserve">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w:t>
      </w:r>
      <w:r>
        <w:rPr>
          <w:rFonts w:ascii="Arial" w:eastAsia="Times New Roman" w:hAnsi="Arial" w:cs="Arial"/>
          <w:szCs w:val="20"/>
          <w:lang w:val="en-GB"/>
        </w:rPr>
        <w:t>sport of data carriers or saving of data thereon;</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w:t>
      </w:r>
      <w:r>
        <w:rPr>
          <w:rFonts w:ascii="Arial" w:eastAsia="Times New Roman" w:hAnsi="Arial" w:cs="Arial"/>
          <w:szCs w:val="20"/>
          <w:lang w:val="en-GB"/>
        </w:rPr>
        <w:t>ceived is not combined with other data unless explicitly authorized by the competent ethics commission for the specific research project and necessary to conduct the specific research project;</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w:t>
      </w:r>
      <w:r>
        <w:rPr>
          <w:rFonts w:ascii="Arial" w:eastAsia="Times New Roman" w:hAnsi="Arial" w:cs="Arial"/>
          <w:szCs w:val="20"/>
          <w:lang w:val="en-GB"/>
        </w:rPr>
        <w:t>ho require it to conduct the specified research project and to be able to identify each of them;</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adequate organisational measures to protect data, especially by selecting, instructing and supervising employees involved in the processing of data dili</w:t>
      </w:r>
      <w:r>
        <w:rPr>
          <w:rFonts w:ascii="Arial" w:eastAsia="Times New Roman" w:hAnsi="Arial" w:cs="Arial"/>
          <w:szCs w:val="20"/>
          <w:lang w:val="en-GB"/>
        </w:rPr>
        <w:t xml:space="preserve">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that the effectiveness of technical </w:t>
      </w:r>
      <w:r>
        <w:rPr>
          <w:rFonts w:ascii="Arial" w:eastAsia="Times New Roman" w:hAnsi="Arial" w:cs="Arial"/>
          <w:szCs w:val="20"/>
          <w:lang w:val="en-GB"/>
        </w:rPr>
        <w:t>and organisational measures is regularly reviewed and assessed</w:t>
      </w:r>
      <w:r>
        <w:rPr>
          <w:rFonts w:ascii="Arial" w:eastAsia="Times New Roman" w:hAnsi="Arial" w:cs="Arial"/>
          <w:szCs w:val="20"/>
          <w:lang w:val="en-GB"/>
        </w:rPr>
        <w:t>;</w:t>
      </w:r>
    </w:p>
    <w:p w:rsidR="00A053D1" w:rsidRDefault="007B0A2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A053D1" w:rsidRDefault="00A053D1">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p>
    <w:p w:rsidR="00A053D1" w:rsidRDefault="00A053D1">
      <w:pPr>
        <w:rPr>
          <w:rFonts w:ascii="Arial" w:hAnsi="Arial" w:cs="Arial"/>
          <w:sz w:val="20"/>
          <w:szCs w:val="20"/>
          <w:lang w:val="en-GB"/>
        </w:rPr>
      </w:pPr>
    </w:p>
    <w:p w:rsidR="00A053D1" w:rsidRDefault="00A053D1">
      <w:pPr>
        <w:rPr>
          <w:rFonts w:ascii="Arial" w:eastAsia="Calibri" w:hAnsi="Arial" w:cs="Arial"/>
          <w:sz w:val="20"/>
          <w:szCs w:val="20"/>
          <w:lang w:val="en-GB"/>
        </w:rPr>
      </w:pPr>
    </w:p>
    <w:p w:rsidR="00A053D1" w:rsidRDefault="00A053D1">
      <w:pPr>
        <w:rPr>
          <w:rFonts w:ascii="Arial" w:hAnsi="Arial" w:cs="Arial"/>
          <w:sz w:val="20"/>
          <w:szCs w:val="20"/>
          <w:lang w:val="en-GB"/>
        </w:rPr>
      </w:pPr>
    </w:p>
    <w:p w:rsidR="00A053D1" w:rsidRDefault="007B0A2E">
      <w:pPr>
        <w:rPr>
          <w:rFonts w:ascii="Arial" w:eastAsia="Calibri" w:hAnsi="Arial" w:cs="Arial"/>
          <w:sz w:val="20"/>
          <w:szCs w:val="20"/>
          <w:lang w:val="en-GB"/>
        </w:rPr>
      </w:pPr>
      <w:r>
        <w:rPr>
          <w:rFonts w:ascii="Arial" w:hAnsi="Arial" w:cs="Arial"/>
          <w:b/>
          <w:sz w:val="20"/>
          <w:szCs w:val="20"/>
          <w:lang w:val="en-GB"/>
        </w:rPr>
        <w:br w:type="page"/>
      </w:r>
      <w:r>
        <w:rPr>
          <w:rFonts w:ascii="Arial" w:hAnsi="Arial" w:cs="Arial"/>
          <w:b/>
          <w:sz w:val="20"/>
          <w:szCs w:val="20"/>
          <w:lang w:val="en-GB"/>
        </w:rPr>
        <w:lastRenderedPageBreak/>
        <w:t>Appendix 3 – Information and Audits of Security Measures</w:t>
      </w:r>
      <w:bookmarkStart w:id="99" w:name="_Ref518994300"/>
      <w:bookmarkEnd w:id="98"/>
    </w:p>
    <w:p w:rsidR="00A053D1" w:rsidRDefault="00A053D1">
      <w:pPr>
        <w:pStyle w:val="AppendixRomanList"/>
        <w:rPr>
          <w:rFonts w:cs="Arial"/>
        </w:rPr>
      </w:pPr>
    </w:p>
    <w:p w:rsidR="00A053D1" w:rsidRDefault="00A053D1">
      <w:pPr>
        <w:rPr>
          <w:rFonts w:ascii="Arial" w:hAnsi="Arial" w:cs="Arial"/>
          <w:b/>
          <w:sz w:val="20"/>
          <w:szCs w:val="20"/>
          <w:lang w:val="en-GB"/>
        </w:rPr>
      </w:pPr>
    </w:p>
    <w:p w:rsidR="00A053D1" w:rsidRDefault="00A053D1">
      <w:pPr>
        <w:pStyle w:val="Sectionparagraph"/>
        <w:numPr>
          <w:ilvl w:val="0"/>
          <w:numId w:val="0"/>
        </w:numPr>
        <w:tabs>
          <w:tab w:val="left" w:pos="284"/>
        </w:tabs>
        <w:rPr>
          <w:sz w:val="20"/>
        </w:rPr>
        <w:sectPr w:rsidR="00A053D1">
          <w:headerReference w:type="default" r:id="rId15"/>
          <w:pgSz w:w="11900" w:h="16840"/>
          <w:pgMar w:top="1440" w:right="1440" w:bottom="1440" w:left="1440" w:header="708" w:footer="708" w:gutter="0"/>
          <w:cols w:space="708"/>
          <w:docGrid w:linePitch="360"/>
        </w:sectPr>
      </w:pPr>
      <w:bookmarkStart w:id="100" w:name="_Ref27133743"/>
    </w:p>
    <w:p w:rsidR="00A053D1" w:rsidRDefault="007B0A2E">
      <w:pPr>
        <w:pStyle w:val="Heading7"/>
      </w:pPr>
      <w:bookmarkStart w:id="101" w:name="_Ref27142622"/>
      <w:r>
        <w:rPr>
          <w:u w:val="single"/>
        </w:rPr>
        <w:t xml:space="preserve">Scope. </w:t>
      </w:r>
      <w:r>
        <w:t>The provisions of this Schedule apply to personal data contained in the Data.</w:t>
      </w:r>
    </w:p>
    <w:p w:rsidR="00A053D1" w:rsidRDefault="007B0A2E">
      <w:pPr>
        <w:pStyle w:val="Heading7"/>
      </w:pPr>
      <w:bookmarkStart w:id="102" w:name="_Ref27142999"/>
      <w:r>
        <w:rPr>
          <w:u w:val="single"/>
        </w:rPr>
        <w:t>Information</w:t>
      </w:r>
      <w:r>
        <w:t xml:space="preserve"> The </w:t>
      </w:r>
      <w:r>
        <w:t>BioMedIT Node shall make available to Provider, all documents and information reasonably necessary to demonstrate its respective compliance with the applicable data protection law and their obligations arising therefrom</w:t>
      </w:r>
      <w:bookmarkEnd w:id="99"/>
      <w:r>
        <w:t>.</w:t>
      </w:r>
      <w:bookmarkEnd w:id="100"/>
      <w:bookmarkEnd w:id="101"/>
      <w:bookmarkEnd w:id="102"/>
      <w:r>
        <w:t xml:space="preserve"> </w:t>
      </w:r>
    </w:p>
    <w:p w:rsidR="00A053D1" w:rsidRDefault="007B0A2E">
      <w:pPr>
        <w:pStyle w:val="Heading7"/>
      </w:pPr>
      <w:bookmarkStart w:id="103" w:name="_Ref518994254"/>
      <w:r>
        <w:rPr>
          <w:u w:val="single"/>
        </w:rPr>
        <w:t>Right of audit</w:t>
      </w:r>
      <w:r>
        <w:t xml:space="preserve">. The BioMedIT Node </w:t>
      </w:r>
      <w:r>
        <w:t>shall allow Provider or an independent auditor appointed by Provider to conduct audits (including inspections) to verify the BioMedIT Node's compliance with their obligations under the applicable data protection law. Any audit shall be constrained to infra</w:t>
      </w:r>
      <w:r>
        <w:t xml:space="preserve">structure needed to perform this Agreement/ Project and related measures. The BioMedIT Node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Provider shall forward the complete audit report to the BioMedIT Node, free of charge.</w:t>
      </w:r>
      <w:bookmarkEnd w:id="103"/>
    </w:p>
    <w:p w:rsidR="00A053D1" w:rsidRDefault="007B0A2E">
      <w:pPr>
        <w:pStyle w:val="Heading7"/>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 in writing and indicate (</w:t>
      </w:r>
      <w:proofErr w:type="spellStart"/>
      <w:r>
        <w:t>i</w:t>
      </w:r>
      <w:proofErr w:type="spellEnd"/>
      <w:r>
        <w:t>) th</w:t>
      </w:r>
      <w:r>
        <w:t xml:space="preserve">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w:instrText>
      </w:r>
      <w:r>
        <w:rPr>
          <w:u w:val="single"/>
        </w:rPr>
        <w:instrText xml:space="preserv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 to be audited, and (iv) that Provider expre</w:t>
      </w:r>
      <w:r>
        <w:t>ssly undertakes to use the information collected only to ensure that the BioMedIT Node is in compliance with its obligations with regard to the concerned Data. Unless there are exceptional circumstances, Provider may not make more than one request per year</w:t>
      </w:r>
      <w:r>
        <w:t xml:space="preserve">.  </w:t>
      </w:r>
    </w:p>
    <w:p w:rsidR="00A053D1" w:rsidRDefault="007B0A2E">
      <w:pPr>
        <w:pStyle w:val="Heading7"/>
      </w:pPr>
      <w:r>
        <w:rPr>
          <w:u w:val="single"/>
        </w:rPr>
        <w:t>Exercise of rights</w:t>
      </w:r>
      <w:r>
        <w:t>. Upon receiving a request in accordance with the preceding clause, and provided that all conditions are met, the BioMedIT Node shall comply with the request as follows:</w:t>
      </w:r>
    </w:p>
    <w:p w:rsidR="00A053D1" w:rsidRDefault="007B0A2E">
      <w:pPr>
        <w:pStyle w:val="Heading8"/>
      </w:pPr>
      <w:r>
        <w:t>the BioMedIT Node shall inform Provider, with regard to the revi</w:t>
      </w:r>
      <w:r>
        <w:t>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it may consult the documents at the BioMedIT</w:t>
      </w:r>
      <w:r>
        <w:t xml:space="preserve"> Node's offices. Unless otherwise expressly agreed by the BioMedIT Node, Provider shall not be </w:t>
      </w:r>
      <w:proofErr w:type="spellStart"/>
      <w:r>
        <w:t>authorised</w:t>
      </w:r>
      <w:proofErr w:type="spellEnd"/>
      <w:r>
        <w:t xml:space="preserve"> to make copies of the documents consulted. Alternatively, the BioMedIT Node may decide to provide the documents electronically; </w:t>
      </w:r>
    </w:p>
    <w:p w:rsidR="00A053D1" w:rsidRDefault="007B0A2E">
      <w:pPr>
        <w:pStyle w:val="Heading8"/>
      </w:pPr>
      <w:r>
        <w:t>the BioMedIT Node sha</w:t>
      </w:r>
      <w:r>
        <w:t xml:space="preserve">ll inform Provider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w:t>
      </w:r>
      <w:r>
        <w:t>the audit, in particular the inspections that may be carried out, in order to check the BioMedIT Node’s compliance with its obligations under this Agreement. Provider's internal costs or the costs of the independent auditor appointed by it shall be borne e</w:t>
      </w:r>
      <w:r>
        <w:t>ntirely by Provider. The BioMedIT Node may invoice Provider for their own costs associated with the preparation for and execution of the audit based on the costs incurred by the BioMedIT Node. The BioMedIT Node may object to any independent auditor appoint</w:t>
      </w:r>
      <w:r>
        <w:t>ed by Provider if, in their opinion, the auditor is not sufficiently qualified, is a competitor of the BioMedIT Node, or in any other way would not be able to perform its duties properly. In this case, Provider may either carry out the audit itself or prop</w:t>
      </w:r>
      <w:r>
        <w:t xml:space="preserve">ose another auditor to the BioMedIT Node.  </w:t>
      </w:r>
    </w:p>
    <w:p w:rsidR="00A053D1" w:rsidRDefault="007B0A2E">
      <w:pPr>
        <w:pStyle w:val="Heading7"/>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w:t>
      </w:r>
      <w:r>
        <w:t>the BioMedIT Node to provide Provider with (</w:t>
      </w:r>
      <w:proofErr w:type="spellStart"/>
      <w:r>
        <w:t>i</w:t>
      </w:r>
      <w:proofErr w:type="spellEnd"/>
      <w:r>
        <w:t>) any information relating to trade secrets of the BioMedIT Node or any information of a confidential nature or (ii) any information concerning other users of the BioMedIT Node services. The BioMedIT Node may ma</w:t>
      </w:r>
      <w:r>
        <w:t>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rsidR="00A053D1" w:rsidRDefault="00A053D1">
      <w:pPr>
        <w:pStyle w:val="ListParagraph"/>
        <w:ind w:left="1134" w:hanging="567"/>
        <w:rPr>
          <w:rFonts w:ascii="Arial" w:hAnsi="Arial" w:cs="Arial"/>
          <w:b/>
          <w:szCs w:val="20"/>
          <w:lang w:val="en-GB"/>
        </w:rPr>
      </w:pPr>
    </w:p>
    <w:p w:rsidR="00A053D1" w:rsidRDefault="007B0A2E">
      <w:pPr>
        <w:jc w:val="center"/>
        <w:rPr>
          <w:rFonts w:ascii="Arial" w:hAnsi="Arial" w:cs="Arial"/>
          <w:b/>
          <w:sz w:val="20"/>
          <w:szCs w:val="20"/>
          <w:lang w:val="en-GB"/>
        </w:rPr>
        <w:sectPr w:rsidR="00A053D1">
          <w:type w:val="continuous"/>
          <w:pgSz w:w="11900" w:h="16840"/>
          <w:pgMar w:top="1440" w:right="1440" w:bottom="1440" w:left="1440" w:header="708" w:footer="708" w:gutter="0"/>
          <w:cols w:num="2" w:space="708"/>
          <w:docGrid w:linePitch="360"/>
        </w:sectPr>
      </w:pPr>
      <w:r>
        <w:rPr>
          <w:rFonts w:ascii="Arial" w:hAnsi="Arial" w:cs="Arial"/>
          <w:b/>
          <w:sz w:val="20"/>
          <w:szCs w:val="20"/>
          <w:lang w:val="en-GB"/>
        </w:rPr>
        <w:t>*  * *  *</w:t>
      </w:r>
    </w:p>
    <w:p w:rsidR="00A053D1" w:rsidRDefault="00A053D1">
      <w:pPr>
        <w:rPr>
          <w:rFonts w:ascii="Arial" w:hAnsi="Arial" w:cs="Arial"/>
          <w:b/>
          <w:sz w:val="20"/>
          <w:szCs w:val="20"/>
          <w:lang w:val="en-GB"/>
        </w:rPr>
      </w:pPr>
    </w:p>
    <w:sectPr w:rsidR="00A053D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2E" w:rsidRDefault="007B0A2E">
      <w:r>
        <w:separator/>
      </w:r>
    </w:p>
  </w:endnote>
  <w:endnote w:type="continuationSeparator" w:id="0">
    <w:p w:rsidR="007B0A2E" w:rsidRDefault="007B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1" w:rsidRDefault="007B0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053D1" w:rsidRDefault="00A05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04857"/>
      <w:docPartObj>
        <w:docPartGallery w:val="Page Numbers (Bottom of Page)"/>
        <w:docPartUnique/>
      </w:docPartObj>
    </w:sdtPr>
    <w:sdtEndPr/>
    <w:sdtContent>
      <w:sdt>
        <w:sdtPr>
          <w:id w:val="-1769616900"/>
          <w:docPartObj>
            <w:docPartGallery w:val="Page Numbers (Top of Page)"/>
            <w:docPartUnique/>
          </w:docPartObj>
        </w:sdtPr>
        <w:sdtEndPr/>
        <w:sdtContent>
          <w:p w:rsidR="00A053D1" w:rsidRDefault="007B0A2E">
            <w:pPr>
              <w:pStyle w:val="Footer"/>
              <w:jc w:val="right"/>
              <w:rPr>
                <w:lang w:val="en-US"/>
              </w:rPr>
            </w:pPr>
            <w:r w:rsidRPr="00267AB6">
              <w:rPr>
                <w:rFonts w:ascii="Arial" w:hAnsi="Arial" w:cs="Arial"/>
                <w:sz w:val="18"/>
                <w:szCs w:val="18"/>
                <w:lang w:val="en-US"/>
              </w:rPr>
              <w:t xml:space="preserve">Page </w:t>
            </w:r>
            <w:r>
              <w:rPr>
                <w:rFonts w:ascii="Arial" w:hAnsi="Arial" w:cs="Arial"/>
                <w:b/>
                <w:bCs/>
                <w:sz w:val="18"/>
                <w:szCs w:val="18"/>
              </w:rPr>
              <w:fldChar w:fldCharType="begin"/>
            </w:r>
            <w:r w:rsidRPr="00267AB6">
              <w:rPr>
                <w:rFonts w:ascii="Arial" w:hAnsi="Arial" w:cs="Arial"/>
                <w:b/>
                <w:bCs/>
                <w:sz w:val="18"/>
                <w:szCs w:val="18"/>
                <w:lang w:val="en-US"/>
              </w:rPr>
              <w:instrText xml:space="preserve"> PAGE </w:instrText>
            </w:r>
            <w:r>
              <w:rPr>
                <w:rFonts w:ascii="Arial" w:hAnsi="Arial" w:cs="Arial"/>
                <w:b/>
                <w:bCs/>
                <w:sz w:val="18"/>
                <w:szCs w:val="18"/>
              </w:rPr>
              <w:fldChar w:fldCharType="separate"/>
            </w:r>
            <w:r w:rsidR="000664D4">
              <w:rPr>
                <w:rFonts w:ascii="Arial" w:hAnsi="Arial" w:cs="Arial"/>
                <w:b/>
                <w:bCs/>
                <w:noProof/>
                <w:sz w:val="18"/>
                <w:szCs w:val="18"/>
                <w:lang w:val="en-US"/>
              </w:rPr>
              <w:t>13</w:t>
            </w:r>
            <w:r>
              <w:rPr>
                <w:rFonts w:ascii="Arial" w:hAnsi="Arial" w:cs="Arial"/>
                <w:b/>
                <w:bCs/>
                <w:sz w:val="18"/>
                <w:szCs w:val="18"/>
              </w:rPr>
              <w:fldChar w:fldCharType="end"/>
            </w:r>
            <w:r w:rsidRPr="00267AB6">
              <w:rPr>
                <w:rFonts w:ascii="Arial" w:hAnsi="Arial" w:cs="Arial"/>
                <w:sz w:val="18"/>
                <w:szCs w:val="18"/>
                <w:lang w:val="en-US"/>
              </w:rPr>
              <w:t xml:space="preserve"> of </w:t>
            </w:r>
            <w:r>
              <w:rPr>
                <w:rFonts w:ascii="Arial" w:hAnsi="Arial" w:cs="Arial"/>
                <w:b/>
                <w:bCs/>
                <w:sz w:val="18"/>
                <w:szCs w:val="18"/>
              </w:rPr>
              <w:fldChar w:fldCharType="begin"/>
            </w:r>
            <w:r w:rsidRPr="00267AB6">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0664D4">
              <w:rPr>
                <w:rFonts w:ascii="Arial" w:hAnsi="Arial" w:cs="Arial"/>
                <w:b/>
                <w:bCs/>
                <w:noProof/>
                <w:sz w:val="18"/>
                <w:szCs w:val="18"/>
                <w:lang w:val="en-US"/>
              </w:rPr>
              <w:t>13</w:t>
            </w:r>
            <w:r>
              <w:rPr>
                <w:rFonts w:ascii="Arial" w:hAnsi="Arial" w:cs="Arial"/>
                <w:b/>
                <w:bCs/>
                <w:sz w:val="18"/>
                <w:szCs w:val="18"/>
              </w:rPr>
              <w:fldChar w:fldCharType="end"/>
            </w:r>
          </w:p>
        </w:sdtContent>
      </w:sdt>
    </w:sdtContent>
  </w:sdt>
  <w:p w:rsidR="00A053D1" w:rsidRDefault="00267AB6">
    <w:pPr>
      <w:pStyle w:val="Footer"/>
      <w:rPr>
        <w:rFonts w:ascii="Arial" w:hAnsi="Arial" w:cs="Arial"/>
        <w:sz w:val="18"/>
        <w:szCs w:val="18"/>
        <w:lang w:val="en-US"/>
      </w:rPr>
    </w:pPr>
    <w:r>
      <w:rPr>
        <w:rFonts w:ascii="Arial" w:hAnsi="Arial" w:cs="Arial"/>
        <w:sz w:val="18"/>
        <w:szCs w:val="18"/>
        <w:lang w:val="en-US"/>
      </w:rPr>
      <w:t>SPHN Template_DTPA_SingleNode_V2</w:t>
    </w:r>
    <w:r w:rsidR="007B0A2E">
      <w:rPr>
        <w:rFonts w:ascii="Arial" w:hAnsi="Arial" w:cs="Arial"/>
        <w:sz w:val="18"/>
        <w:szCs w:val="18"/>
        <w:lang w:val="en-US"/>
      </w:rPr>
      <w:t>_</w:t>
    </w:r>
    <w:r>
      <w:rPr>
        <w:rFonts w:ascii="Arial" w:hAnsi="Arial" w:cs="Arial"/>
        <w:sz w:val="18"/>
        <w:szCs w:val="18"/>
        <w:lang w:val="en-US"/>
      </w:rPr>
      <w:t>20NOV</w:t>
    </w:r>
    <w:r w:rsidR="007B0A2E">
      <w:rPr>
        <w:rFonts w:ascii="Arial" w:hAnsi="Arial" w:cs="Arial"/>
        <w:sz w:val="18"/>
        <w:szCs w:val="18"/>
        <w:lang w:val="en-US"/>
      </w:rPr>
      <w:t>2020</w:t>
    </w:r>
  </w:p>
  <w:p w:rsidR="00A053D1" w:rsidRDefault="00A053D1">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1" w:rsidRDefault="00A053D1">
    <w:pPr>
      <w:pStyle w:val="Footer"/>
      <w:tabs>
        <w:tab w:val="clear" w:pos="4680"/>
        <w:tab w:val="clear" w:pos="9360"/>
        <w:tab w:val="left" w:pos="24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2E" w:rsidRDefault="007B0A2E">
      <w:r>
        <w:separator/>
      </w:r>
    </w:p>
  </w:footnote>
  <w:footnote w:type="continuationSeparator" w:id="0">
    <w:p w:rsidR="007B0A2E" w:rsidRDefault="007B0A2E">
      <w:r>
        <w:continuationSeparator/>
      </w:r>
    </w:p>
  </w:footnote>
  <w:footnote w:type="continuationNotice" w:id="1">
    <w:p w:rsidR="007B0A2E" w:rsidRDefault="007B0A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053D1" w:rsidRDefault="00A053D1">
    <w:pPr>
      <w:pStyle w:val="Header"/>
      <w:rPr>
        <w:rFonts w:ascii="Arial" w:hAnsi="Arial"/>
        <w:b/>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r>
      <w:rPr>
        <w:rFonts w:ascii="Arial" w:hAnsi="Arial" w:cs="Arial"/>
        <w:b/>
        <w:color w:val="A6A6A6" w:themeColor="background1" w:themeShade="A6"/>
        <w:sz w:val="18"/>
        <w:szCs w:val="18"/>
      </w:rPr>
      <w:t xml:space="preserve">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053D1" w:rsidRDefault="00A053D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D1" w:rsidRDefault="007B0A2E">
    <w:pPr>
      <w:tabs>
        <w:tab w:val="left" w:pos="5529"/>
        <w:tab w:val="right" w:pos="9070"/>
      </w:tabs>
      <w:rPr>
        <w:rFonts w:ascii="Arial" w:hAnsi="Arial" w:cs="Arial"/>
        <w:b/>
        <w:sz w:val="18"/>
        <w:szCs w:val="18"/>
      </w:rPr>
    </w:pPr>
    <w:r>
      <w:rPr>
        <w:rFonts w:ascii="Arial" w:hAnsi="Arial" w:cs="Arial"/>
        <w:b/>
        <w:color w:val="A6A6A6" w:themeColor="background1" w:themeShade="A6"/>
        <w:sz w:val="18"/>
        <w:szCs w:val="18"/>
      </w:rPr>
      <w:t xml:space="preserve">CONFIDENTIAL                                                                                </w:t>
    </w:r>
    <w:proofErr w:type="gramStart"/>
    <w:r>
      <w:rPr>
        <w:rFonts w:ascii="Arial" w:hAnsi="Arial" w:cs="Arial"/>
        <w:b/>
        <w:color w:val="A6A6A6" w:themeColor="background1" w:themeShade="A6"/>
        <w:sz w:val="18"/>
        <w:szCs w:val="18"/>
      </w:rPr>
      <w:t xml:space="preserve">  </w:t>
    </w:r>
    <w:r>
      <w:rPr>
        <w:rFonts w:ascii="Arial" w:hAnsi="Arial" w:cs="Arial"/>
        <w:color w:val="A6A6A6" w:themeColor="background1" w:themeShade="A6"/>
        <w:sz w:val="18"/>
        <w:szCs w:val="18"/>
      </w:rPr>
      <w:t xml:space="preserve"> [</w:t>
    </w:r>
    <w:proofErr w:type="spellStart"/>
    <w:proofErr w:type="gramEnd"/>
    <w:r>
      <w:rPr>
        <w:rFonts w:ascii="Arial" w:hAnsi="Arial" w:cs="Arial"/>
        <w:color w:val="A6A6A6" w:themeColor="background1" w:themeShade="A6"/>
        <w:sz w:val="18"/>
        <w:szCs w:val="18"/>
        <w:highlight w:val="lightGray"/>
      </w:rPr>
      <w:t>ProjectName</w:t>
    </w:r>
    <w:proofErr w:type="spellEnd"/>
    <w:r>
      <w:rPr>
        <w:rFonts w:ascii="Arial" w:hAnsi="Arial" w:cs="Arial"/>
        <w:color w:val="A6A6A6" w:themeColor="background1" w:themeShade="A6"/>
        <w:sz w:val="18"/>
        <w:szCs w:val="18"/>
        <w:highlight w:val="lightGray"/>
      </w:rPr>
      <w:t>]</w:t>
    </w:r>
    <w:r>
      <w:rPr>
        <w:rFonts w:ascii="Arial" w:hAnsi="Arial" w:cs="Arial"/>
        <w:b/>
        <w:bCs/>
        <w:color w:val="A6A6A6" w:themeColor="background1" w:themeShade="A6"/>
        <w:sz w:val="18"/>
        <w:szCs w:val="18"/>
      </w:rPr>
      <w:t xml:space="preserve"> | </w:t>
    </w:r>
    <w:r>
      <w:rPr>
        <w:rFonts w:ascii="Arial" w:hAnsi="Arial" w:cs="Arial"/>
        <w:b/>
        <w:color w:val="A6A6A6" w:themeColor="background1" w:themeShade="A6"/>
        <w:sz w:val="18"/>
        <w:szCs w:val="18"/>
      </w:rPr>
      <w:t xml:space="preserve">DTPA </w:t>
    </w:r>
    <w:r>
      <w:rPr>
        <w:rFonts w:ascii="Arial" w:hAnsi="Arial" w:cs="Arial"/>
        <w:b/>
        <w:color w:val="A6A6A6" w:themeColor="background1" w:themeShade="A6"/>
        <w:sz w:val="18"/>
        <w:szCs w:val="18"/>
        <w:highlight w:val="yellow"/>
      </w:rPr>
      <w:t>V0.1 DD.MM.YYYY</w:t>
    </w:r>
  </w:p>
  <w:p w:rsidR="00A053D1" w:rsidRDefault="00A053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3A9B"/>
    <w:multiLevelType w:val="hybridMultilevel"/>
    <w:tmpl w:val="3AD0995E"/>
    <w:lvl w:ilvl="0" w:tplc="2F621B5C">
      <w:start w:val="1"/>
      <w:numFmt w:val="upperLetter"/>
      <w:lvlText w:val="%1."/>
      <w:lvlJc w:val="left"/>
      <w:pPr>
        <w:ind w:left="720" w:hanging="360"/>
      </w:pPr>
      <w:rPr>
        <w:rFonts w:hint="default"/>
      </w:rPr>
    </w:lvl>
    <w:lvl w:ilvl="1" w:tplc="1D78D35E">
      <w:start w:val="1"/>
      <w:numFmt w:val="lowerLetter"/>
      <w:lvlText w:val="%2."/>
      <w:lvlJc w:val="left"/>
      <w:pPr>
        <w:ind w:left="1440" w:hanging="360"/>
      </w:pPr>
    </w:lvl>
    <w:lvl w:ilvl="2" w:tplc="66542D8A">
      <w:start w:val="1"/>
      <w:numFmt w:val="lowerRoman"/>
      <w:lvlText w:val="%3."/>
      <w:lvlJc w:val="right"/>
      <w:pPr>
        <w:ind w:left="2160" w:hanging="180"/>
      </w:pPr>
    </w:lvl>
    <w:lvl w:ilvl="3" w:tplc="4D74E088">
      <w:start w:val="1"/>
      <w:numFmt w:val="decimal"/>
      <w:lvlText w:val="%4."/>
      <w:lvlJc w:val="left"/>
      <w:pPr>
        <w:ind w:left="2880" w:hanging="360"/>
      </w:pPr>
    </w:lvl>
    <w:lvl w:ilvl="4" w:tplc="80AA61CC">
      <w:start w:val="1"/>
      <w:numFmt w:val="lowerLetter"/>
      <w:lvlText w:val="%5."/>
      <w:lvlJc w:val="left"/>
      <w:pPr>
        <w:ind w:left="3600" w:hanging="360"/>
      </w:pPr>
    </w:lvl>
    <w:lvl w:ilvl="5" w:tplc="41DE4C66">
      <w:start w:val="1"/>
      <w:numFmt w:val="lowerRoman"/>
      <w:lvlText w:val="%6."/>
      <w:lvlJc w:val="right"/>
      <w:pPr>
        <w:ind w:left="4320" w:hanging="180"/>
      </w:pPr>
    </w:lvl>
    <w:lvl w:ilvl="6" w:tplc="3BD27546">
      <w:start w:val="1"/>
      <w:numFmt w:val="decimal"/>
      <w:lvlText w:val="%7."/>
      <w:lvlJc w:val="left"/>
      <w:pPr>
        <w:ind w:left="5040" w:hanging="360"/>
      </w:pPr>
    </w:lvl>
    <w:lvl w:ilvl="7" w:tplc="646E6ADC">
      <w:start w:val="1"/>
      <w:numFmt w:val="lowerLetter"/>
      <w:lvlText w:val="%8."/>
      <w:lvlJc w:val="left"/>
      <w:pPr>
        <w:ind w:left="5760" w:hanging="360"/>
      </w:pPr>
    </w:lvl>
    <w:lvl w:ilvl="8" w:tplc="1AE4061E">
      <w:start w:val="1"/>
      <w:numFmt w:val="lowerRoman"/>
      <w:lvlText w:val="%9."/>
      <w:lvlJc w:val="right"/>
      <w:pPr>
        <w:ind w:left="6480" w:hanging="180"/>
      </w:pPr>
    </w:lvl>
  </w:abstractNum>
  <w:abstractNum w:abstractNumId="1" w15:restartNumberingAfterBreak="0">
    <w:nsid w:val="21433355"/>
    <w:multiLevelType w:val="hybridMultilevel"/>
    <w:tmpl w:val="26364B90"/>
    <w:lvl w:ilvl="0" w:tplc="595C802E">
      <w:start w:val="1"/>
      <w:numFmt w:val="decimal"/>
      <w:pStyle w:val="Heading7"/>
      <w:lvlText w:val="%1."/>
      <w:lvlJc w:val="left"/>
      <w:pPr>
        <w:ind w:left="720" w:hanging="360"/>
      </w:pPr>
    </w:lvl>
    <w:lvl w:ilvl="1" w:tplc="DF8483E2">
      <w:start w:val="1"/>
      <w:numFmt w:val="lowerLetter"/>
      <w:lvlText w:val="%2."/>
      <w:lvlJc w:val="left"/>
      <w:pPr>
        <w:ind w:left="1440" w:hanging="360"/>
      </w:pPr>
    </w:lvl>
    <w:lvl w:ilvl="2" w:tplc="15FCE304">
      <w:start w:val="1"/>
      <w:numFmt w:val="lowerRoman"/>
      <w:lvlText w:val="%3."/>
      <w:lvlJc w:val="right"/>
      <w:pPr>
        <w:ind w:left="2160" w:hanging="180"/>
      </w:pPr>
    </w:lvl>
    <w:lvl w:ilvl="3" w:tplc="D3027174">
      <w:start w:val="1"/>
      <w:numFmt w:val="decimal"/>
      <w:lvlText w:val="%4."/>
      <w:lvlJc w:val="left"/>
      <w:pPr>
        <w:ind w:left="2880" w:hanging="360"/>
      </w:pPr>
    </w:lvl>
    <w:lvl w:ilvl="4" w:tplc="D00C16C8">
      <w:start w:val="1"/>
      <w:numFmt w:val="lowerLetter"/>
      <w:lvlText w:val="%5."/>
      <w:lvlJc w:val="left"/>
      <w:pPr>
        <w:ind w:left="3600" w:hanging="360"/>
      </w:pPr>
    </w:lvl>
    <w:lvl w:ilvl="5" w:tplc="55A2BEA8">
      <w:start w:val="1"/>
      <w:numFmt w:val="lowerRoman"/>
      <w:lvlText w:val="%6."/>
      <w:lvlJc w:val="right"/>
      <w:pPr>
        <w:ind w:left="4320" w:hanging="180"/>
      </w:pPr>
    </w:lvl>
    <w:lvl w:ilvl="6" w:tplc="D4E86384">
      <w:start w:val="1"/>
      <w:numFmt w:val="decimal"/>
      <w:lvlText w:val="%7."/>
      <w:lvlJc w:val="left"/>
      <w:pPr>
        <w:ind w:left="5040" w:hanging="360"/>
      </w:pPr>
    </w:lvl>
    <w:lvl w:ilvl="7" w:tplc="5D3057BC">
      <w:start w:val="1"/>
      <w:numFmt w:val="lowerLetter"/>
      <w:lvlText w:val="%8."/>
      <w:lvlJc w:val="left"/>
      <w:pPr>
        <w:ind w:left="5760" w:hanging="360"/>
      </w:pPr>
    </w:lvl>
    <w:lvl w:ilvl="8" w:tplc="3BE2C760">
      <w:start w:val="1"/>
      <w:numFmt w:val="lowerRoman"/>
      <w:lvlText w:val="%9."/>
      <w:lvlJc w:val="right"/>
      <w:pPr>
        <w:ind w:left="6480" w:hanging="180"/>
      </w:pPr>
    </w:lvl>
  </w:abstractNum>
  <w:abstractNum w:abstractNumId="2" w15:restartNumberingAfterBreak="0">
    <w:nsid w:val="33E16A1B"/>
    <w:multiLevelType w:val="hybridMultilevel"/>
    <w:tmpl w:val="B0FEA876"/>
    <w:lvl w:ilvl="0" w:tplc="1F7C5C28">
      <w:start w:val="1"/>
      <w:numFmt w:val="upperLetter"/>
      <w:pStyle w:val="Preambleparagraph"/>
      <w:lvlText w:val="%1."/>
      <w:lvlJc w:val="left"/>
      <w:pPr>
        <w:ind w:left="720" w:hanging="360"/>
      </w:pPr>
      <w:rPr>
        <w:rFonts w:hint="default"/>
      </w:rPr>
    </w:lvl>
    <w:lvl w:ilvl="1" w:tplc="C2F22FAE">
      <w:start w:val="1"/>
      <w:numFmt w:val="lowerLetter"/>
      <w:lvlText w:val="%2."/>
      <w:lvlJc w:val="left"/>
      <w:pPr>
        <w:ind w:left="1440" w:hanging="360"/>
      </w:pPr>
    </w:lvl>
    <w:lvl w:ilvl="2" w:tplc="752E0576">
      <w:start w:val="1"/>
      <w:numFmt w:val="lowerRoman"/>
      <w:lvlText w:val="%3."/>
      <w:lvlJc w:val="right"/>
      <w:pPr>
        <w:ind w:left="2160" w:hanging="180"/>
      </w:pPr>
    </w:lvl>
    <w:lvl w:ilvl="3" w:tplc="F0E4E95A">
      <w:start w:val="1"/>
      <w:numFmt w:val="decimal"/>
      <w:lvlText w:val="%4."/>
      <w:lvlJc w:val="left"/>
      <w:pPr>
        <w:ind w:left="2880" w:hanging="360"/>
      </w:pPr>
    </w:lvl>
    <w:lvl w:ilvl="4" w:tplc="BAEA1EC4">
      <w:start w:val="1"/>
      <w:numFmt w:val="lowerLetter"/>
      <w:lvlText w:val="%5."/>
      <w:lvlJc w:val="left"/>
      <w:pPr>
        <w:ind w:left="3600" w:hanging="360"/>
      </w:pPr>
    </w:lvl>
    <w:lvl w:ilvl="5" w:tplc="BC04764C">
      <w:start w:val="1"/>
      <w:numFmt w:val="lowerRoman"/>
      <w:lvlText w:val="%6."/>
      <w:lvlJc w:val="right"/>
      <w:pPr>
        <w:ind w:left="4320" w:hanging="180"/>
      </w:pPr>
    </w:lvl>
    <w:lvl w:ilvl="6" w:tplc="B3569A00">
      <w:start w:val="1"/>
      <w:numFmt w:val="decimal"/>
      <w:lvlText w:val="%7."/>
      <w:lvlJc w:val="left"/>
      <w:pPr>
        <w:ind w:left="5040" w:hanging="360"/>
      </w:pPr>
    </w:lvl>
    <w:lvl w:ilvl="7" w:tplc="97B47624">
      <w:start w:val="1"/>
      <w:numFmt w:val="lowerLetter"/>
      <w:lvlText w:val="%8."/>
      <w:lvlJc w:val="left"/>
      <w:pPr>
        <w:ind w:left="5760" w:hanging="360"/>
      </w:pPr>
    </w:lvl>
    <w:lvl w:ilvl="8" w:tplc="9D78B222">
      <w:start w:val="1"/>
      <w:numFmt w:val="lowerRoman"/>
      <w:lvlText w:val="%9."/>
      <w:lvlJc w:val="right"/>
      <w:pPr>
        <w:ind w:left="6480" w:hanging="180"/>
      </w:pPr>
    </w:lvl>
  </w:abstractNum>
  <w:abstractNum w:abstractNumId="3" w15:restartNumberingAfterBreak="0">
    <w:nsid w:val="37C9583C"/>
    <w:multiLevelType w:val="hybridMultilevel"/>
    <w:tmpl w:val="8D7C7962"/>
    <w:lvl w:ilvl="0" w:tplc="178EFBD6">
      <w:start w:val="1"/>
      <w:numFmt w:val="upperLetter"/>
      <w:lvlText w:val="%1."/>
      <w:lvlJc w:val="left"/>
      <w:pPr>
        <w:ind w:left="720" w:hanging="360"/>
      </w:pPr>
      <w:rPr>
        <w:rFonts w:hint="default"/>
      </w:rPr>
    </w:lvl>
    <w:lvl w:ilvl="1" w:tplc="D090D482">
      <w:start w:val="1"/>
      <w:numFmt w:val="lowerLetter"/>
      <w:lvlText w:val="%2."/>
      <w:lvlJc w:val="left"/>
      <w:pPr>
        <w:ind w:left="1440" w:hanging="360"/>
      </w:pPr>
    </w:lvl>
    <w:lvl w:ilvl="2" w:tplc="219479A2">
      <w:start w:val="1"/>
      <w:numFmt w:val="lowerRoman"/>
      <w:lvlText w:val="%3."/>
      <w:lvlJc w:val="right"/>
      <w:pPr>
        <w:ind w:left="2160" w:hanging="180"/>
      </w:pPr>
    </w:lvl>
    <w:lvl w:ilvl="3" w:tplc="D4E05060">
      <w:start w:val="1"/>
      <w:numFmt w:val="decimal"/>
      <w:lvlText w:val="%4."/>
      <w:lvlJc w:val="left"/>
      <w:pPr>
        <w:ind w:left="2880" w:hanging="360"/>
      </w:pPr>
    </w:lvl>
    <w:lvl w:ilvl="4" w:tplc="CB261534">
      <w:start w:val="1"/>
      <w:numFmt w:val="lowerLetter"/>
      <w:lvlText w:val="%5."/>
      <w:lvlJc w:val="left"/>
      <w:pPr>
        <w:ind w:left="3600" w:hanging="360"/>
      </w:pPr>
    </w:lvl>
    <w:lvl w:ilvl="5" w:tplc="DBC46E0C">
      <w:start w:val="1"/>
      <w:numFmt w:val="lowerRoman"/>
      <w:lvlText w:val="%6."/>
      <w:lvlJc w:val="right"/>
      <w:pPr>
        <w:ind w:left="4320" w:hanging="180"/>
      </w:pPr>
    </w:lvl>
    <w:lvl w:ilvl="6" w:tplc="4C5A9FD0">
      <w:start w:val="1"/>
      <w:numFmt w:val="decimal"/>
      <w:lvlText w:val="%7."/>
      <w:lvlJc w:val="left"/>
      <w:pPr>
        <w:ind w:left="5040" w:hanging="360"/>
      </w:pPr>
    </w:lvl>
    <w:lvl w:ilvl="7" w:tplc="9BC45664">
      <w:start w:val="1"/>
      <w:numFmt w:val="lowerLetter"/>
      <w:lvlText w:val="%8."/>
      <w:lvlJc w:val="left"/>
      <w:pPr>
        <w:ind w:left="5760" w:hanging="360"/>
      </w:pPr>
    </w:lvl>
    <w:lvl w:ilvl="8" w:tplc="969EA802">
      <w:start w:val="1"/>
      <w:numFmt w:val="lowerRoman"/>
      <w:lvlText w:val="%9."/>
      <w:lvlJc w:val="right"/>
      <w:pPr>
        <w:ind w:left="6480" w:hanging="180"/>
      </w:pPr>
    </w:lvl>
  </w:abstractNum>
  <w:abstractNum w:abstractNumId="4" w15:restartNumberingAfterBreak="0">
    <w:nsid w:val="4D266B09"/>
    <w:multiLevelType w:val="hybridMultilevel"/>
    <w:tmpl w:val="0A16657A"/>
    <w:lvl w:ilvl="0" w:tplc="81C01E5C">
      <w:start w:val="1"/>
      <w:numFmt w:val="bullet"/>
      <w:lvlText w:val=""/>
      <w:lvlJc w:val="left"/>
      <w:pPr>
        <w:ind w:left="720" w:hanging="360"/>
      </w:pPr>
      <w:rPr>
        <w:rFonts w:ascii="Symbol" w:hAnsi="Symbol" w:hint="default"/>
      </w:rPr>
    </w:lvl>
    <w:lvl w:ilvl="1" w:tplc="EFECAF9A">
      <w:start w:val="1"/>
      <w:numFmt w:val="bullet"/>
      <w:lvlText w:val="o"/>
      <w:lvlJc w:val="left"/>
      <w:pPr>
        <w:ind w:left="1440" w:hanging="360"/>
      </w:pPr>
      <w:rPr>
        <w:rFonts w:ascii="Courier New" w:hAnsi="Courier New" w:cs="Courier New" w:hint="default"/>
      </w:rPr>
    </w:lvl>
    <w:lvl w:ilvl="2" w:tplc="2DB00C18">
      <w:start w:val="1"/>
      <w:numFmt w:val="bullet"/>
      <w:lvlText w:val=""/>
      <w:lvlJc w:val="left"/>
      <w:pPr>
        <w:ind w:left="2160" w:hanging="360"/>
      </w:pPr>
      <w:rPr>
        <w:rFonts w:ascii="Wingdings" w:hAnsi="Wingdings" w:hint="default"/>
      </w:rPr>
    </w:lvl>
    <w:lvl w:ilvl="3" w:tplc="3CE46E80">
      <w:start w:val="1"/>
      <w:numFmt w:val="bullet"/>
      <w:lvlText w:val=""/>
      <w:lvlJc w:val="left"/>
      <w:pPr>
        <w:ind w:left="2880" w:hanging="360"/>
      </w:pPr>
      <w:rPr>
        <w:rFonts w:ascii="Symbol" w:hAnsi="Symbol" w:hint="default"/>
      </w:rPr>
    </w:lvl>
    <w:lvl w:ilvl="4" w:tplc="8D4864EA">
      <w:start w:val="1"/>
      <w:numFmt w:val="bullet"/>
      <w:lvlText w:val="o"/>
      <w:lvlJc w:val="left"/>
      <w:pPr>
        <w:ind w:left="3600" w:hanging="360"/>
      </w:pPr>
      <w:rPr>
        <w:rFonts w:ascii="Courier New" w:hAnsi="Courier New" w:cs="Courier New" w:hint="default"/>
      </w:rPr>
    </w:lvl>
    <w:lvl w:ilvl="5" w:tplc="C9122E3E">
      <w:start w:val="1"/>
      <w:numFmt w:val="bullet"/>
      <w:lvlText w:val=""/>
      <w:lvlJc w:val="left"/>
      <w:pPr>
        <w:ind w:left="4320" w:hanging="360"/>
      </w:pPr>
      <w:rPr>
        <w:rFonts w:ascii="Wingdings" w:hAnsi="Wingdings" w:hint="default"/>
      </w:rPr>
    </w:lvl>
    <w:lvl w:ilvl="6" w:tplc="53B6CF92">
      <w:start w:val="1"/>
      <w:numFmt w:val="bullet"/>
      <w:lvlText w:val=""/>
      <w:lvlJc w:val="left"/>
      <w:pPr>
        <w:ind w:left="5040" w:hanging="360"/>
      </w:pPr>
      <w:rPr>
        <w:rFonts w:ascii="Symbol" w:hAnsi="Symbol" w:hint="default"/>
      </w:rPr>
    </w:lvl>
    <w:lvl w:ilvl="7" w:tplc="CF326EFE">
      <w:start w:val="1"/>
      <w:numFmt w:val="bullet"/>
      <w:lvlText w:val="o"/>
      <w:lvlJc w:val="left"/>
      <w:pPr>
        <w:ind w:left="5760" w:hanging="360"/>
      </w:pPr>
      <w:rPr>
        <w:rFonts w:ascii="Courier New" w:hAnsi="Courier New" w:cs="Courier New" w:hint="default"/>
      </w:rPr>
    </w:lvl>
    <w:lvl w:ilvl="8" w:tplc="80245478">
      <w:start w:val="1"/>
      <w:numFmt w:val="bullet"/>
      <w:lvlText w:val=""/>
      <w:lvlJc w:val="left"/>
      <w:pPr>
        <w:ind w:left="6480" w:hanging="360"/>
      </w:pPr>
      <w:rPr>
        <w:rFonts w:ascii="Wingdings" w:hAnsi="Wingdings" w:hint="default"/>
      </w:rPr>
    </w:lvl>
  </w:abstractNum>
  <w:abstractNum w:abstractNumId="5" w15:restartNumberingAfterBreak="0">
    <w:nsid w:val="5159108C"/>
    <w:multiLevelType w:val="hybridMultilevel"/>
    <w:tmpl w:val="001EEB0A"/>
    <w:lvl w:ilvl="0" w:tplc="97E0FEC4">
      <w:start w:val="1"/>
      <w:numFmt w:val="lowerLetter"/>
      <w:pStyle w:val="Heading8"/>
      <w:lvlText w:val="%1)"/>
      <w:lvlJc w:val="left"/>
      <w:pPr>
        <w:ind w:left="720" w:hanging="360"/>
      </w:pPr>
    </w:lvl>
    <w:lvl w:ilvl="1" w:tplc="6DB08646">
      <w:start w:val="1"/>
      <w:numFmt w:val="lowerLetter"/>
      <w:lvlText w:val="%2."/>
      <w:lvlJc w:val="left"/>
      <w:pPr>
        <w:ind w:left="1440" w:hanging="360"/>
      </w:pPr>
    </w:lvl>
    <w:lvl w:ilvl="2" w:tplc="C5642F0A">
      <w:start w:val="1"/>
      <w:numFmt w:val="lowerRoman"/>
      <w:lvlText w:val="%3."/>
      <w:lvlJc w:val="right"/>
      <w:pPr>
        <w:ind w:left="2160" w:hanging="180"/>
      </w:pPr>
    </w:lvl>
    <w:lvl w:ilvl="3" w:tplc="FA346404">
      <w:start w:val="1"/>
      <w:numFmt w:val="decimal"/>
      <w:lvlText w:val="%4."/>
      <w:lvlJc w:val="left"/>
      <w:pPr>
        <w:ind w:left="2880" w:hanging="360"/>
      </w:pPr>
    </w:lvl>
    <w:lvl w:ilvl="4" w:tplc="81620404">
      <w:start w:val="1"/>
      <w:numFmt w:val="lowerLetter"/>
      <w:lvlText w:val="%5."/>
      <w:lvlJc w:val="left"/>
      <w:pPr>
        <w:ind w:left="3600" w:hanging="360"/>
      </w:pPr>
    </w:lvl>
    <w:lvl w:ilvl="5" w:tplc="654C7D2E">
      <w:start w:val="1"/>
      <w:numFmt w:val="lowerRoman"/>
      <w:lvlText w:val="%6."/>
      <w:lvlJc w:val="right"/>
      <w:pPr>
        <w:ind w:left="4320" w:hanging="180"/>
      </w:pPr>
    </w:lvl>
    <w:lvl w:ilvl="6" w:tplc="DC509E48">
      <w:start w:val="1"/>
      <w:numFmt w:val="decimal"/>
      <w:lvlText w:val="%7."/>
      <w:lvlJc w:val="left"/>
      <w:pPr>
        <w:ind w:left="5040" w:hanging="360"/>
      </w:pPr>
    </w:lvl>
    <w:lvl w:ilvl="7" w:tplc="CA3C04B2">
      <w:start w:val="1"/>
      <w:numFmt w:val="lowerLetter"/>
      <w:lvlText w:val="%8."/>
      <w:lvlJc w:val="left"/>
      <w:pPr>
        <w:ind w:left="5760" w:hanging="360"/>
      </w:pPr>
    </w:lvl>
    <w:lvl w:ilvl="8" w:tplc="94C6F4D6">
      <w:start w:val="1"/>
      <w:numFmt w:val="lowerRoman"/>
      <w:lvlText w:val="%9."/>
      <w:lvlJc w:val="right"/>
      <w:pPr>
        <w:ind w:left="6480" w:hanging="180"/>
      </w:pPr>
    </w:lvl>
  </w:abstractNum>
  <w:abstractNum w:abstractNumId="6" w15:restartNumberingAfterBreak="0">
    <w:nsid w:val="6F961203"/>
    <w:multiLevelType w:val="multilevel"/>
    <w:tmpl w:val="3F1C8F4C"/>
    <w:lvl w:ilvl="0">
      <w:start w:val="1"/>
      <w:numFmt w:val="decimal"/>
      <w:pStyle w:val="Sectiontitle"/>
      <w:lvlText w:val="%1."/>
      <w:lvlJc w:val="left"/>
      <w:pPr>
        <w:ind w:left="705" w:hanging="705"/>
      </w:pPr>
      <w:rPr>
        <w:rFonts w:ascii="Arial" w:hAnsi="Arial" w:cs="Arial" w:hint="default"/>
        <w:b/>
        <w:bCs/>
        <w:i w:val="0"/>
        <w:color w:val="auto"/>
        <w:sz w:val="22"/>
        <w:szCs w:val="22"/>
      </w:rPr>
    </w:lvl>
    <w:lvl w:ilvl="1">
      <w:start w:val="1"/>
      <w:numFmt w:val="decimal"/>
      <w:pStyle w:val="Sectionparagraph"/>
      <w:lvlText w:val="%1.%2."/>
      <w:lvlJc w:val="left"/>
      <w:pPr>
        <w:tabs>
          <w:tab w:val="left" w:pos="3120"/>
        </w:tabs>
        <w:ind w:left="3120" w:hanging="709"/>
      </w:pPr>
      <w:rPr>
        <w:rFonts w:ascii="Arial" w:hAnsi="Arial" w:cs="Arial" w:hint="default"/>
        <w:b w:val="0"/>
        <w:i w:val="0"/>
        <w:color w:val="auto"/>
        <w:sz w:val="22"/>
        <w:szCs w:val="22"/>
      </w:rPr>
    </w:lvl>
    <w:lvl w:ilvl="2">
      <w:start w:val="1"/>
      <w:numFmt w:val="lowerLetter"/>
      <w:pStyle w:val="Letterlist"/>
      <w:lvlText w:val="%3)"/>
      <w:lvlJc w:val="left"/>
      <w:pPr>
        <w:tabs>
          <w:tab w:val="left" w:pos="1134"/>
        </w:tabs>
        <w:ind w:left="1134" w:hanging="425"/>
      </w:pPr>
      <w:rPr>
        <w:rFonts w:ascii="Arial" w:hAnsi="Arial" w:cs="Arial" w:hint="default"/>
        <w:b w:val="0"/>
        <w:i w:val="0"/>
        <w:sz w:val="22"/>
        <w:szCs w:val="22"/>
      </w:rPr>
    </w:lvl>
    <w:lvl w:ilvl="3">
      <w:start w:val="1"/>
      <w:numFmt w:val="lowerRoman"/>
      <w:pStyle w:val="Heading3"/>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7" w15:restartNumberingAfterBreak="0">
    <w:nsid w:val="79A3418F"/>
    <w:multiLevelType w:val="hybridMultilevel"/>
    <w:tmpl w:val="BBEA7AB4"/>
    <w:lvl w:ilvl="0" w:tplc="B62E9D96">
      <w:start w:val="1"/>
      <w:numFmt w:val="upperRoman"/>
      <w:pStyle w:val="Heading2"/>
      <w:lvlText w:val="%1."/>
      <w:lvlJc w:val="left"/>
      <w:pPr>
        <w:ind w:left="1080" w:hanging="720"/>
      </w:pPr>
      <w:rPr>
        <w:rFonts w:hint="default"/>
        <w:b/>
        <w:bCs w:val="0"/>
      </w:rPr>
    </w:lvl>
    <w:lvl w:ilvl="1" w:tplc="2B663642">
      <w:start w:val="1"/>
      <w:numFmt w:val="lowerLetter"/>
      <w:lvlText w:val="%2."/>
      <w:lvlJc w:val="left"/>
      <w:pPr>
        <w:ind w:left="1440" w:hanging="360"/>
      </w:pPr>
    </w:lvl>
    <w:lvl w:ilvl="2" w:tplc="DE308ECC">
      <w:start w:val="1"/>
      <w:numFmt w:val="lowerRoman"/>
      <w:lvlText w:val="%3."/>
      <w:lvlJc w:val="right"/>
      <w:pPr>
        <w:ind w:left="2160" w:hanging="180"/>
      </w:pPr>
    </w:lvl>
    <w:lvl w:ilvl="3" w:tplc="AEC0AB54">
      <w:start w:val="1"/>
      <w:numFmt w:val="decimal"/>
      <w:lvlText w:val="%4."/>
      <w:lvlJc w:val="left"/>
      <w:pPr>
        <w:ind w:left="2880" w:hanging="360"/>
      </w:pPr>
    </w:lvl>
    <w:lvl w:ilvl="4" w:tplc="3F94618E">
      <w:start w:val="1"/>
      <w:numFmt w:val="lowerLetter"/>
      <w:lvlText w:val="%5."/>
      <w:lvlJc w:val="left"/>
      <w:pPr>
        <w:ind w:left="3600" w:hanging="360"/>
      </w:pPr>
    </w:lvl>
    <w:lvl w:ilvl="5" w:tplc="06B24C72">
      <w:start w:val="1"/>
      <w:numFmt w:val="lowerRoman"/>
      <w:lvlText w:val="%6."/>
      <w:lvlJc w:val="right"/>
      <w:pPr>
        <w:ind w:left="4320" w:hanging="180"/>
      </w:pPr>
    </w:lvl>
    <w:lvl w:ilvl="6" w:tplc="38FA2D5C">
      <w:start w:val="1"/>
      <w:numFmt w:val="decimal"/>
      <w:lvlText w:val="%7."/>
      <w:lvlJc w:val="left"/>
      <w:pPr>
        <w:ind w:left="5040" w:hanging="360"/>
      </w:pPr>
    </w:lvl>
    <w:lvl w:ilvl="7" w:tplc="7EE0F6D2">
      <w:start w:val="1"/>
      <w:numFmt w:val="lowerLetter"/>
      <w:lvlText w:val="%8."/>
      <w:lvlJc w:val="left"/>
      <w:pPr>
        <w:ind w:left="5760" w:hanging="360"/>
      </w:pPr>
    </w:lvl>
    <w:lvl w:ilvl="8" w:tplc="98EE78E0">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D1"/>
    <w:rsid w:val="000664D4"/>
    <w:rsid w:val="00267AB6"/>
    <w:rsid w:val="007B0A2E"/>
    <w:rsid w:val="00A0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D4A7"/>
  <w15:docId w15:val="{35D76D74-1245-4459-BE9C-4C136E10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120" w:after="120" w:line="276" w:lineRule="auto"/>
      <w:ind w:left="851"/>
      <w:jc w:val="both"/>
      <w:outlineLvl w:val="0"/>
    </w:pPr>
    <w:rPr>
      <w:rFonts w:ascii="Arial" w:hAnsi="Arial" w:cs="Arial"/>
      <w:color w:val="000000"/>
      <w:sz w:val="22"/>
      <w:szCs w:val="22"/>
    </w:rPr>
  </w:style>
  <w:style w:type="paragraph" w:styleId="Heading2">
    <w:name w:val="heading 2"/>
    <w:basedOn w:val="Sectiontitle"/>
    <w:next w:val="Normal"/>
    <w:link w:val="Heading2Char"/>
    <w:uiPriority w:val="9"/>
    <w:unhideWhenUsed/>
    <w:qFormat/>
    <w:pPr>
      <w:numPr>
        <w:numId w:val="2"/>
      </w:numPr>
      <w:ind w:left="851" w:hanging="851"/>
      <w:outlineLvl w:val="1"/>
    </w:pPr>
    <w:rPr>
      <w:caps/>
    </w:rPr>
  </w:style>
  <w:style w:type="paragraph" w:styleId="Heading3">
    <w:name w:val="heading 3"/>
    <w:basedOn w:val="Letterlist"/>
    <w:next w:val="Normal"/>
    <w:link w:val="Heading3Char"/>
    <w:unhideWhenUsed/>
    <w:qFormat/>
    <w:pPr>
      <w:numPr>
        <w:ilvl w:val="3"/>
      </w:numPr>
      <w:tabs>
        <w:tab w:val="clear" w:pos="1559"/>
        <w:tab w:val="left" w:pos="1985"/>
      </w:tabs>
      <w:ind w:left="1985" w:hanging="567"/>
      <w:outlineLvl w:val="2"/>
    </w:pPr>
  </w:style>
  <w:style w:type="paragraph" w:styleId="Heading4">
    <w:name w:val="heading 4"/>
    <w:basedOn w:val="Heading1"/>
    <w:next w:val="Normal"/>
    <w:link w:val="Heading4Char"/>
    <w:unhideWhenUsed/>
    <w:qFormat/>
    <w:pPr>
      <w:keepNext/>
      <w:pBdr>
        <w:top w:val="none" w:sz="0" w:space="0" w:color="auto"/>
        <w:left w:val="none" w:sz="0" w:space="0" w:color="auto"/>
        <w:bottom w:val="none" w:sz="0" w:space="0" w:color="auto"/>
        <w:right w:val="none" w:sz="0" w:space="0" w:color="auto"/>
        <w:between w:val="none" w:sz="0" w:space="0" w:color="auto"/>
      </w:pBdr>
      <w:spacing w:line="240" w:lineRule="auto"/>
      <w:ind w:left="0" w:hanging="567"/>
      <w:outlineLvl w:val="3"/>
    </w:pPr>
    <w:rPr>
      <w:caps/>
      <w:color w:val="auto"/>
      <w:sz w:val="18"/>
      <w:szCs w:val="18"/>
      <w:lang w:val="en-GB" w:eastAsia="en-GB"/>
    </w:rPr>
  </w:style>
  <w:style w:type="paragraph" w:styleId="Heading5">
    <w:name w:val="heading 5"/>
    <w:basedOn w:val="Normal"/>
    <w:next w:val="Normal"/>
    <w:link w:val="Heading5Char"/>
    <w:unhideWhenUsed/>
    <w:qFormat/>
    <w:pPr>
      <w:keepNext/>
      <w:keepLines/>
      <w:spacing w:before="40"/>
      <w:outlineLvl w:val="4"/>
    </w:pPr>
    <w:rPr>
      <w:rFonts w:ascii="Calibri Light" w:eastAsia="Calibri Light" w:hAnsi="Calibri Light" w:cs="Calibri Light"/>
      <w:color w:val="2F5496"/>
    </w:rPr>
  </w:style>
  <w:style w:type="paragraph" w:styleId="Heading6">
    <w:name w:val="heading 6"/>
    <w:basedOn w:val="Normal"/>
    <w:next w:val="Normal"/>
    <w:link w:val="Heading6Char"/>
    <w:unhideWhenUsed/>
    <w:qFormat/>
    <w:pPr>
      <w:keepLines/>
      <w:widowControl w:val="0"/>
      <w:spacing w:before="40"/>
      <w:ind w:left="426" w:hanging="426"/>
      <w:jc w:val="both"/>
      <w:outlineLvl w:val="5"/>
    </w:pPr>
    <w:rPr>
      <w:rFonts w:ascii="Arial" w:eastAsia="Calibri" w:hAnsi="Arial" w:cs="Arial"/>
      <w:sz w:val="18"/>
      <w:szCs w:val="18"/>
      <w:lang w:val="en-GB" w:eastAsia="en-GB"/>
    </w:rPr>
  </w:style>
  <w:style w:type="paragraph" w:styleId="Heading7">
    <w:name w:val="heading 7"/>
    <w:basedOn w:val="Sectionparagraph"/>
    <w:next w:val="Normal"/>
    <w:link w:val="Heading7Char"/>
    <w:uiPriority w:val="9"/>
    <w:unhideWhenUsed/>
    <w:qFormat/>
    <w:pPr>
      <w:numPr>
        <w:ilvl w:val="0"/>
        <w:numId w:val="4"/>
      </w:numPr>
      <w:tabs>
        <w:tab w:val="left" w:pos="284"/>
      </w:tabs>
      <w:spacing w:line="240" w:lineRule="auto"/>
      <w:ind w:left="0" w:firstLine="0"/>
      <w:outlineLvl w:val="6"/>
    </w:pPr>
    <w:rPr>
      <w:sz w:val="20"/>
    </w:rPr>
  </w:style>
  <w:style w:type="paragraph" w:styleId="Heading8">
    <w:name w:val="heading 8"/>
    <w:basedOn w:val="Normal"/>
    <w:next w:val="Normal"/>
    <w:link w:val="Heading8Char"/>
    <w:uiPriority w:val="9"/>
    <w:unhideWhenUsed/>
    <w:qFormat/>
    <w:pPr>
      <w:keepNext/>
      <w:keepLines/>
      <w:numPr>
        <w:numId w:val="5"/>
      </w:numPr>
      <w:tabs>
        <w:tab w:val="left" w:pos="284"/>
      </w:tabs>
      <w:spacing w:before="40"/>
      <w:ind w:left="0" w:firstLine="0"/>
      <w:jc w:val="both"/>
      <w:outlineLvl w:val="7"/>
    </w:pPr>
    <w:rPr>
      <w:rFonts w:ascii="Arial" w:eastAsia="Calibri Light" w:hAnsi="Arial" w:cs="Arial"/>
      <w:color w:val="272727"/>
      <w:sz w:val="20"/>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GridTable1Light-Accent1">
    <w:name w:val="Grid Table 1 Light Accent 1"/>
    <w:basedOn w:val="Table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GridTable2-Accent1">
    <w:name w:val="Grid Table 2 Accent 1"/>
    <w:basedOn w:val="Table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auto" w:fill="FFFFFF"/>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styleId="GridTable2-Accent2">
    <w:name w:val="Grid Table 2 Accent 2"/>
    <w:basedOn w:val="Table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2-Accent3">
    <w:name w:val="Grid Table 2 Accent 3"/>
    <w:basedOn w:val="Table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2-Accent4">
    <w:name w:val="Grid Table 2 Accent 4"/>
    <w:basedOn w:val="Table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2-Accent5">
    <w:name w:val="Grid Table 2 Accent 5"/>
    <w:basedOn w:val="Table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auto" w:fill="FFFFFF"/>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2-Accent6">
    <w:name w:val="Grid Table 2 Accent 6"/>
    <w:basedOn w:val="Table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3-Accent1">
    <w:name w:val="Grid Table 3 Accent 1"/>
    <w:basedOn w:val="TableNorma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styleId="GridTable3-Accent2">
    <w:name w:val="Grid Table 3 Accent 2"/>
    <w:basedOn w:val="TableNorma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3-Accent3">
    <w:name w:val="Grid Table 3 Accent 3"/>
    <w:basedOn w:val="TableNorma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3-Accent4">
    <w:name w:val="Grid Table 3 Accent 4"/>
    <w:basedOn w:val="TableNorma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3-Accent5">
    <w:name w:val="Grid Table 3 Accent 5"/>
    <w:basedOn w:val="TableNorma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3-Accent6">
    <w:name w:val="Grid Table 3 Accent 6"/>
    <w:basedOn w:val="TableNorma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4-Accent1">
    <w:name w:val="Grid Table 4 Accent 1"/>
    <w:basedOn w:val="TableNormal"/>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styleId="GridTable4-Accent2">
    <w:name w:val="Grid Table 4 Accent 2"/>
    <w:basedOn w:val="TableNormal"/>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styleId="GridTable4-Accent3">
    <w:name w:val="Grid Table 4 Accent 3"/>
    <w:basedOn w:val="TableNormal"/>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styleId="GridTable4-Accent4">
    <w:name w:val="Grid Table 4 Accent 4"/>
    <w:basedOn w:val="TableNormal"/>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styleId="GridTable4-Accent5">
    <w:name w:val="Grid Table 4 Accent 5"/>
    <w:basedOn w:val="TableNormal"/>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styleId="GridTable4-Accent6">
    <w:name w:val="Grid Table 4 Accent 6"/>
    <w:basedOn w:val="TableNormal"/>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GridTable5Dark-Accent2">
    <w:name w:val="Grid Table 5 Dark Accent 2"/>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styleId="GridTable5Dark-Accent3">
    <w:name w:val="Grid Table 5 Dark Accent 3"/>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styleId="GridTable5Dark-Accent5">
    <w:name w:val="Grid Table 5 Dark Accent 5"/>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styleId="GridTable5Dark-Accent6">
    <w:name w:val="Grid Table 5 Dark Accent 6"/>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GridTable6Colorful-Accent1">
    <w:name w:val="Grid Table 6 Colorful Accent 1"/>
    <w:basedOn w:val="TableNormal"/>
    <w:uiPriority w:val="99"/>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olor w:val="245A8D"/>
        <w:sz w:val="22"/>
      </w:rPr>
      <w:tblPr/>
      <w:tcPr>
        <w:shd w:val="clear" w:color="auto" w:fill="E1EFD8"/>
      </w:tcPr>
    </w:tblStylePr>
    <w:tblStylePr w:type="band2Horz">
      <w:rPr>
        <w:rFonts w:ascii="Arial" w:hAnsi="Arial"/>
        <w:color w:val="245A8D"/>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auto" w:fill="FFFFFF"/>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sz w:val="22"/>
      </w:rPr>
      <w:tblPr/>
      <w:tcPr>
        <w:shd w:val="clear" w:color="auto" w:fill="D8E2F3"/>
      </w:tcPr>
    </w:tblStylePr>
    <w:tblStylePr w:type="band2Horz">
      <w:rPr>
        <w:rFonts w:ascii="Arial" w:hAnsi="Arial"/>
        <w:color w:val="A0B7E1"/>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auto" w:fill="FFFFFF"/>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sz w:val="22"/>
      </w:rPr>
      <w:tblPr/>
      <w:tcPr>
        <w:shd w:val="clear" w:color="auto" w:fill="DDEAF6"/>
      </w:tcPr>
    </w:tblStylePr>
    <w:tblStylePr w:type="band2Horz">
      <w:rPr>
        <w:rFonts w:ascii="Arial" w:hAnsi="Arial"/>
        <w:color w:val="245A8D"/>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ListTable2-Accent1">
    <w:name w:val="List Table 2 Accent 1"/>
    <w:basedOn w:val="TableNormal"/>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styleId="ListTable2-Accent2">
    <w:name w:val="List Table 2 Accent 2"/>
    <w:basedOn w:val="TableNormal"/>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styleId="ListTable2-Accent3">
    <w:name w:val="List Table 2 Accent 3"/>
    <w:basedOn w:val="TableNormal"/>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styleId="ListTable2-Accent4">
    <w:name w:val="List Table 2 Accent 4"/>
    <w:basedOn w:val="TableNormal"/>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styleId="ListTable2-Accent5">
    <w:name w:val="List Table 2 Accent 5"/>
    <w:basedOn w:val="TableNormal"/>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styleId="ListTable2-Accent6">
    <w:name w:val="List Table 2 Accent 6"/>
    <w:basedOn w:val="TableNormal"/>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ListTable3-Accent1">
    <w:name w:val="List Table 3 Accent 1"/>
    <w:basedOn w:val="TableNormal"/>
    <w:uiPriority w:val="9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styleId="ListTable3-Accent2">
    <w:name w:val="List Table 3 Accent 2"/>
    <w:basedOn w:val="TableNormal"/>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styleId="ListTable3-Accent3">
    <w:name w:val="List Table 3 Accent 3"/>
    <w:basedOn w:val="TableNormal"/>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styleId="ListTable3-Accent4">
    <w:name w:val="List Table 3 Accent 4"/>
    <w:basedOn w:val="TableNormal"/>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styleId="ListTable3-Accent5">
    <w:name w:val="List Table 3 Accent 5"/>
    <w:basedOn w:val="TableNormal"/>
    <w:uiPriority w:val="99"/>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styleId="ListTable3-Accent6">
    <w:name w:val="List Table 3 Accent 6"/>
    <w:basedOn w:val="TableNormal"/>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ListTable4-Accent1">
    <w:name w:val="List Table 4 Accent 1"/>
    <w:basedOn w:val="TableNormal"/>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styleId="ListTable4-Accent2">
    <w:name w:val="List Table 4 Accent 2"/>
    <w:basedOn w:val="TableNormal"/>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styleId="ListTable4-Accent3">
    <w:name w:val="List Table 4 Accent 3"/>
    <w:basedOn w:val="TableNormal"/>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styleId="ListTable4-Accent4">
    <w:name w:val="List Table 4 Accent 4"/>
    <w:basedOn w:val="TableNormal"/>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styleId="ListTable4-Accent5">
    <w:name w:val="List Table 4 Accent 5"/>
    <w:basedOn w:val="TableNormal"/>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styleId="ListTable4-Accent6">
    <w:name w:val="List Table 4 Accent 6"/>
    <w:basedOn w:val="TableNormal"/>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ListTable5Dark-Accent1">
    <w:name w:val="List Table 5 Dark Accent 1"/>
    <w:basedOn w:val="TableNormal"/>
    <w:uiPriority w:val="99"/>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auto" w:fill="4472C4"/>
    </w:tblPr>
    <w:tblStylePr w:type="firstRow">
      <w:rPr>
        <w:rFonts w:ascii="Arial" w:hAnsi="Arial"/>
        <w:b/>
        <w:color w:val="FFFFFF"/>
        <w:sz w:val="22"/>
      </w:rPr>
      <w:tblPr/>
      <w:tcPr>
        <w:tcBorders>
          <w:top w:val="single" w:sz="32" w:space="0" w:color="4472C4"/>
          <w:bottom w:val="single" w:sz="12" w:space="0" w:color="FFFFFF"/>
        </w:tcBorders>
        <w:shd w:val="clear" w:color="auto"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styleId="ListTable5Dark-Accent2">
    <w:name w:val="List Table 5 Dark Accent 2"/>
    <w:basedOn w:val="TableNormal"/>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styleId="ListTable5Dark-Accent3">
    <w:name w:val="List Table 5 Dark Accent 3"/>
    <w:basedOn w:val="TableNormal"/>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styleId="ListTable5Dark-Accent4">
    <w:name w:val="List Table 5 Dark Accent 4"/>
    <w:basedOn w:val="TableNormal"/>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styleId="ListTable5Dark-Accent5">
    <w:name w:val="List Table 5 Dark Accent 5"/>
    <w:basedOn w:val="TableNormal"/>
    <w:uiPriority w:val="99"/>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auto" w:fill="9BC2E5"/>
    </w:tblPr>
    <w:tblStylePr w:type="firstRow">
      <w:rPr>
        <w:rFonts w:ascii="Arial" w:hAnsi="Arial"/>
        <w:b/>
        <w:color w:val="FFFFFF"/>
        <w:sz w:val="22"/>
      </w:rPr>
      <w:tblPr/>
      <w:tcPr>
        <w:tcBorders>
          <w:top w:val="single" w:sz="32" w:space="0" w:color="9BC2E5"/>
          <w:bottom w:val="single" w:sz="12" w:space="0" w:color="FFFFFF"/>
        </w:tcBorders>
        <w:shd w:val="clear" w:color="auto"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styleId="ListTable5Dark-Accent6">
    <w:name w:val="List Table 5 Dark Accent 6"/>
    <w:basedOn w:val="TableNormal"/>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styleId="ListTable6Colorful-Accent1">
    <w:name w:val="List Table 6 Colorful Accent 1"/>
    <w:basedOn w:val="TableNormal"/>
    <w:uiPriority w:val="99"/>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auto" w:fill="FFFFFF"/>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sz w:val="22"/>
      </w:rPr>
      <w:tblPr/>
      <w:tcPr>
        <w:shd w:val="clear" w:color="auto" w:fill="CFDBF0"/>
      </w:tcPr>
    </w:tblStylePr>
    <w:tblStylePr w:type="band2Horz">
      <w:rPr>
        <w:rFonts w:ascii="Arial" w:hAnsi="Arial"/>
        <w:color w:val="25417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auto" w:fill="FFFFFF"/>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sz w:val="22"/>
      </w:rPr>
      <w:tblPr/>
      <w:tcPr>
        <w:shd w:val="clear" w:color="auto" w:fill="D5E5F4"/>
      </w:tcPr>
    </w:tblStylePr>
    <w:tblStylePr w:type="band2Horz">
      <w:rPr>
        <w:rFonts w:ascii="Arial" w:hAnsi="Arial"/>
        <w:color w:val="9BC2E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GridTable1Light">
    <w:name w:val="Grid Table 1 Light"/>
    <w:basedOn w:val="Table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GridTable2">
    <w:name w:val="Grid Table 2"/>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3">
    <w:name w:val="Grid Table 3"/>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4">
    <w:name w:val="Grid Table 4"/>
    <w:basedOn w:val="Table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styleId="GridTable5Dark">
    <w:name w:val="Grid Table 5 Dark"/>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styleId="GridTable6Colorful">
    <w:name w:val="Grid Table 6 Colorful"/>
    <w:basedOn w:val="Table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styleId="GridTable7Colorful">
    <w:name w:val="Grid Table 7 Colorful"/>
    <w:basedOn w:val="Table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styleId="ListTable2">
    <w:name w:val="List Table 2"/>
    <w:basedOn w:val="Table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Table3">
    <w:name w:val="List Table 3"/>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ListTable4">
    <w:name w:val="List Table 4"/>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styleId="ListTable5Dark">
    <w:name w:val="List Table 5 Dark"/>
    <w:basedOn w:val="Table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styleId="ListTable6Colorful">
    <w:name w:val="List Table 6 Colorful"/>
    <w:basedOn w:val="Table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styleId="ListTable7Colorful">
    <w:name w:val="List Table 7 Colorful"/>
    <w:basedOn w:val="Table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TOCHeading">
    <w:name w:val="TOC Heading"/>
    <w:uiPriority w:val="39"/>
    <w:unhideWhenUsed/>
    <w:rPr>
      <w:sz w:val="24"/>
      <w:szCs w:val="24"/>
      <w:lang w:val="en-GB"/>
    </w:rPr>
  </w:style>
  <w:style w:type="table" w:styleId="TableGrid">
    <w:name w:val="Table Grid"/>
    <w:basedOn w:val="TableNormal"/>
    <w:uiPriority w:val="59"/>
    <w:rPr>
      <w:sz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lang w:eastAsia="nl-NL"/>
    </w:rPr>
  </w:style>
  <w:style w:type="character" w:customStyle="1" w:styleId="CommentTextChar">
    <w:name w:val="Comment Text Char"/>
    <w:link w:val="CommentText"/>
    <w:uiPriority w:val="99"/>
    <w:rPr>
      <w:rFonts w:ascii="Times New Roman" w:eastAsia="Times New Roman" w:hAnsi="Times New Roman" w:cs="Times New Roman"/>
      <w:sz w:val="20"/>
      <w:szCs w:val="20"/>
      <w:lang w:val="en-US" w:eastAsia="nl-NL"/>
    </w:rPr>
  </w:style>
  <w:style w:type="paragraph" w:styleId="BalloonText">
    <w:name w:val="Balloon Text"/>
    <w:basedOn w:val="Normal"/>
    <w:link w:val="BalloonTextChar"/>
    <w:uiPriority w:val="99"/>
    <w:semiHidden/>
    <w:unhideWhenUsed/>
    <w:rPr>
      <w:rFonts w:eastAsia="Calibri"/>
      <w:sz w:val="18"/>
      <w:szCs w:val="18"/>
      <w:lang w:val="de-CH"/>
    </w:rPr>
  </w:style>
  <w:style w:type="character" w:customStyle="1" w:styleId="BalloonTextChar">
    <w:name w:val="Balloon Text Char"/>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lang w:val="de-CH"/>
    </w:rPr>
  </w:style>
  <w:style w:type="paragraph" w:customStyle="1" w:styleId="Sectiontitle">
    <w:name w:val="Section title"/>
    <w:basedOn w:val="Normal"/>
    <w:next w:val="Normal"/>
    <w:qFormat/>
    <w:pPr>
      <w:keepNext/>
      <w:numPr>
        <w:numId w:val="1"/>
      </w:numPr>
      <w:spacing w:before="240" w:after="120" w:line="276" w:lineRule="auto"/>
      <w:ind w:left="851" w:hanging="851"/>
      <w:jc w:val="both"/>
      <w:outlineLvl w:val="0"/>
    </w:pPr>
    <w:rPr>
      <w:rFonts w:ascii="Arial" w:hAnsi="Arial" w:cs="Arial"/>
      <w:b/>
      <w:sz w:val="22"/>
      <w:szCs w:val="22"/>
      <w:lang w:eastAsia="fr-FR"/>
    </w:rPr>
  </w:style>
  <w:style w:type="paragraph" w:customStyle="1" w:styleId="Sectionparagraph">
    <w:name w:val="Section paragraph"/>
    <w:basedOn w:val="Normal"/>
    <w:link w:val="SectionparagraphCar"/>
    <w:qFormat/>
    <w:pPr>
      <w:numPr>
        <w:ilvl w:val="1"/>
        <w:numId w:val="1"/>
      </w:numPr>
      <w:tabs>
        <w:tab w:val="left" w:pos="851"/>
      </w:tabs>
      <w:spacing w:before="120" w:after="120" w:line="276" w:lineRule="auto"/>
      <w:ind w:left="851" w:hanging="851"/>
      <w:jc w:val="both"/>
    </w:pPr>
    <w:rPr>
      <w:rFonts w:ascii="Arial" w:hAnsi="Arial" w:cs="Arial"/>
      <w:bCs/>
      <w:sz w:val="22"/>
      <w:szCs w:val="20"/>
      <w:lang w:val="en-GB" w:eastAsia="fr-FR"/>
    </w:rPr>
  </w:style>
  <w:style w:type="character" w:customStyle="1" w:styleId="SectionparagraphCar">
    <w:name w:val="Section paragraph Car"/>
    <w:link w:val="Sectionparagraph"/>
    <w:rPr>
      <w:rFonts w:ascii="Arial" w:eastAsia="Times New Roman" w:hAnsi="Arial" w:cs="Arial"/>
      <w:bCs/>
      <w:sz w:val="22"/>
      <w:lang w:val="en-GB" w:eastAsia="fr-FR"/>
    </w:rPr>
  </w:style>
  <w:style w:type="paragraph" w:customStyle="1" w:styleId="Letterlist">
    <w:name w:val="Letter list"/>
    <w:basedOn w:val="Normal"/>
    <w:qFormat/>
    <w:pPr>
      <w:numPr>
        <w:ilvl w:val="2"/>
        <w:numId w:val="1"/>
      </w:numPr>
      <w:tabs>
        <w:tab w:val="clear" w:pos="1134"/>
        <w:tab w:val="left" w:pos="1418"/>
      </w:tabs>
      <w:spacing w:before="120" w:after="120" w:line="276" w:lineRule="auto"/>
      <w:ind w:left="1418" w:hanging="567"/>
      <w:jc w:val="both"/>
    </w:pPr>
    <w:rPr>
      <w:rFonts w:ascii="Arial" w:hAnsi="Arial" w:cs="Arial"/>
      <w:sz w:val="22"/>
      <w:szCs w:val="20"/>
      <w:lang w:val="en-GB" w:eastAsia="fr-FR"/>
    </w:rPr>
  </w:style>
  <w:style w:type="paragraph" w:styleId="ListParagraph">
    <w:name w:val="List Paragraph"/>
    <w:basedOn w:val="Normal"/>
    <w:uiPriority w:val="34"/>
    <w:qFormat/>
    <w:pPr>
      <w:spacing w:line="204" w:lineRule="auto"/>
      <w:ind w:left="720"/>
      <w:contextualSpacing/>
    </w:pPr>
    <w:rPr>
      <w:rFonts w:ascii="Calibri" w:eastAsia="Calibri" w:hAnsi="Calibri" w:cs="Calibri"/>
      <w:sz w:val="20"/>
      <w:szCs w:val="22"/>
      <w:lang w:val="de-CH"/>
    </w:rPr>
  </w:style>
  <w:style w:type="paragraph" w:styleId="FootnoteText">
    <w:name w:val="footnote text"/>
    <w:basedOn w:val="Normal"/>
    <w:link w:val="FootnoteTextChar"/>
    <w:uiPriority w:val="99"/>
    <w:unhideWhenUsed/>
    <w:pPr>
      <w:spacing w:line="204" w:lineRule="auto"/>
    </w:pPr>
    <w:rPr>
      <w:rFonts w:ascii="Calibri" w:eastAsia="Calibri" w:hAnsi="Calibri" w:cs="Calibri"/>
      <w:sz w:val="16"/>
      <w:szCs w:val="20"/>
      <w:lang w:val="de-CH"/>
    </w:rPr>
  </w:style>
  <w:style w:type="character" w:customStyle="1" w:styleId="FootnoteTextChar">
    <w:name w:val="Footnote Text Char"/>
    <w:link w:val="FootnoteText"/>
    <w:uiPriority w:val="99"/>
    <w:rPr>
      <w:sz w:val="16"/>
      <w:szCs w:val="20"/>
      <w:lang w:val="de-CH"/>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79"/>
    <w:unhideWhenUsed/>
    <w:pPr>
      <w:tabs>
        <w:tab w:val="center" w:pos="4536"/>
        <w:tab w:val="right" w:pos="9072"/>
      </w:tabs>
      <w:spacing w:line="204" w:lineRule="auto"/>
    </w:pPr>
    <w:rPr>
      <w:rFonts w:ascii="Calibri" w:eastAsia="Calibri" w:hAnsi="Calibri" w:cs="Calibri"/>
      <w:sz w:val="20"/>
      <w:szCs w:val="22"/>
      <w:lang w:val="de-CH"/>
    </w:rPr>
  </w:style>
  <w:style w:type="character" w:customStyle="1" w:styleId="HeaderChar">
    <w:name w:val="Header Char"/>
    <w:link w:val="Header"/>
    <w:uiPriority w:val="79"/>
    <w:rPr>
      <w:sz w:val="20"/>
      <w:szCs w:val="22"/>
      <w:lang w:val="de-CH"/>
    </w:rPr>
  </w:style>
  <w:style w:type="character" w:styleId="Hyperlink">
    <w:name w:val="Hyperlink"/>
    <w:uiPriority w:val="99"/>
    <w:unhideWhenUsed/>
    <w:rPr>
      <w:color w:val="0563C1"/>
      <w:u w:val="single"/>
    </w:rPr>
  </w:style>
  <w:style w:type="character" w:customStyle="1" w:styleId="UnresolvedMention1">
    <w:name w:val="Unresolved Mention1"/>
    <w:uiPriority w:val="99"/>
    <w:rPr>
      <w:color w:val="605E5C"/>
      <w:shd w:val="clear" w:color="auto" w:fill="E1DFDD"/>
    </w:rPr>
  </w:style>
  <w:style w:type="paragraph" w:styleId="NormalWeb">
    <w:name w:val="Normal (Web)"/>
    <w:basedOn w:val="Normal"/>
    <w:uiPriority w:val="99"/>
    <w:semiHidden/>
    <w:unhideWhenUsed/>
  </w:style>
  <w:style w:type="character" w:styleId="FollowedHyperlink">
    <w:name w:val="FollowedHyperlink"/>
    <w:uiPriority w:val="99"/>
    <w:semiHidden/>
    <w:unhideWhenUsed/>
    <w:rPr>
      <w:color w:val="954F72"/>
      <w:u w:val="single"/>
    </w:rPr>
  </w:style>
  <w:style w:type="paragraph" w:styleId="Footer">
    <w:name w:val="footer"/>
    <w:basedOn w:val="Normal"/>
    <w:link w:val="FooterChar"/>
    <w:uiPriority w:val="99"/>
    <w:unhideWhenUsed/>
    <w:pPr>
      <w:tabs>
        <w:tab w:val="center" w:pos="4680"/>
        <w:tab w:val="right" w:pos="9360"/>
      </w:tabs>
    </w:pPr>
    <w:rPr>
      <w:rFonts w:ascii="Calibri" w:eastAsia="Calibri" w:hAnsi="Calibri" w:cs="Calibri"/>
      <w:sz w:val="20"/>
      <w:szCs w:val="22"/>
      <w:lang w:val="de-CH"/>
    </w:rPr>
  </w:style>
  <w:style w:type="character" w:customStyle="1" w:styleId="FooterChar">
    <w:name w:val="Footer Char"/>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hAnsi="Arial" w:cs="Arial"/>
      <w:b/>
      <w:color w:val="000000"/>
      <w:szCs w:val="20"/>
      <w:lang w:eastAsia="fr-FR"/>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numPr>
        <w:numId w:val="3"/>
      </w:numPr>
      <w:ind w:left="851" w:hanging="851"/>
    </w:pPr>
  </w:style>
  <w:style w:type="character" w:customStyle="1" w:styleId="PreambleparagraphCar">
    <w:name w:val="Preamble paragraph Car"/>
    <w:link w:val="Preambleparagraph"/>
    <w:rPr>
      <w:rFonts w:ascii="Arial" w:eastAsia="Times New Roman" w:hAnsi="Arial" w:cs="Arial"/>
      <w:bCs/>
      <w:sz w:val="22"/>
      <w:lang w:val="en-GB" w:eastAsia="fr-FR"/>
    </w:rPr>
  </w:style>
  <w:style w:type="character" w:customStyle="1" w:styleId="UnresolvedMention2">
    <w:name w:val="Unresolved Mention2"/>
    <w:uiPriority w:val="99"/>
    <w:semiHidden/>
    <w:unhideWhenUsed/>
    <w:rPr>
      <w:color w:val="605E5C"/>
      <w:shd w:val="clear" w:color="auto" w:fill="E1DFDD"/>
    </w:rPr>
  </w:style>
  <w:style w:type="character" w:customStyle="1" w:styleId="Heading1Char">
    <w:name w:val="Heading 1 Char"/>
    <w:link w:val="Heading1"/>
    <w:uiPriority w:val="9"/>
    <w:rPr>
      <w:rFonts w:ascii="Arial" w:eastAsia="Times New Roman" w:hAnsi="Arial" w:cs="Arial"/>
      <w:color w:val="000000"/>
      <w:sz w:val="22"/>
      <w:szCs w:val="22"/>
      <w:lang w:val="en-US"/>
    </w:rPr>
  </w:style>
  <w:style w:type="character" w:customStyle="1" w:styleId="Heading2Char">
    <w:name w:val="Heading 2 Char"/>
    <w:link w:val="Heading2"/>
    <w:uiPriority w:val="9"/>
    <w:rPr>
      <w:rFonts w:ascii="Arial" w:eastAsia="Times New Roman" w:hAnsi="Arial" w:cs="Arial"/>
      <w:b/>
      <w:caps/>
      <w:sz w:val="22"/>
      <w:szCs w:val="22"/>
      <w:lang w:eastAsia="fr-FR"/>
    </w:rPr>
  </w:style>
  <w:style w:type="character" w:customStyle="1" w:styleId="UnresolvedMention3">
    <w:name w:val="Unresolved Mention3"/>
    <w:uiPriority w:val="99"/>
    <w:semiHidden/>
    <w:unhideWhenUsed/>
    <w:rPr>
      <w:color w:val="605E5C"/>
      <w:shd w:val="clear" w:color="auto" w:fill="E1DFDD"/>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paragraph">
    <w:name w:val="paragraph"/>
    <w:basedOn w:val="Normal"/>
    <w:pPr>
      <w:spacing w:before="100" w:beforeAutospacing="1" w:after="100" w:afterAutospacing="1"/>
    </w:pPr>
    <w:rPr>
      <w:lang w:val="fr-CH" w:eastAsia="fr-CH"/>
    </w:rPr>
  </w:style>
  <w:style w:type="character" w:customStyle="1" w:styleId="normaltextrun">
    <w:name w:val="normaltextrun"/>
    <w:basedOn w:val="DefaultParagraphFont"/>
  </w:style>
  <w:style w:type="character" w:customStyle="1" w:styleId="eop">
    <w:name w:val="eop"/>
    <w:basedOn w:val="DefaultParagraphFont"/>
  </w:style>
  <w:style w:type="paragraph" w:styleId="NoSpacing">
    <w:name w:val="No Spacing"/>
    <w:uiPriority w:val="1"/>
    <w:qFormat/>
    <w:rPr>
      <w:rFonts w:ascii="Times New Roman" w:eastAsia="Times New Roman" w:hAnsi="Times New Roman" w:cs="Times New Roman"/>
      <w:sz w:val="24"/>
      <w:szCs w:val="24"/>
    </w:rPr>
  </w:style>
  <w:style w:type="character" w:customStyle="1" w:styleId="Heading3Char">
    <w:name w:val="Heading 3 Char"/>
    <w:link w:val="Heading3"/>
    <w:rPr>
      <w:rFonts w:ascii="Arial" w:eastAsia="Times New Roman" w:hAnsi="Arial" w:cs="Arial"/>
      <w:sz w:val="22"/>
      <w:lang w:val="en-GB" w:eastAsia="fr-FR"/>
    </w:rPr>
  </w:style>
  <w:style w:type="character" w:customStyle="1" w:styleId="Heading5Char">
    <w:name w:val="Heading 5 Char"/>
    <w:link w:val="Heading5"/>
    <w:uiPriority w:val="9"/>
    <w:semiHidden/>
    <w:rPr>
      <w:rFonts w:ascii="Calibri Light" w:eastAsia="Calibri Light" w:hAnsi="Calibri Light" w:cs="Calibri Light"/>
      <w:color w:val="2F5496"/>
      <w:lang w:val="en-US"/>
    </w:rPr>
  </w:style>
  <w:style w:type="character" w:customStyle="1" w:styleId="Heading4Char">
    <w:name w:val="Heading 4 Char"/>
    <w:link w:val="Heading4"/>
    <w:rPr>
      <w:rFonts w:ascii="Arial" w:eastAsia="Times New Roman" w:hAnsi="Arial" w:cs="Arial"/>
      <w:caps/>
      <w:sz w:val="18"/>
      <w:szCs w:val="18"/>
      <w:lang w:eastAsia="en-GB"/>
    </w:rPr>
  </w:style>
  <w:style w:type="character" w:customStyle="1" w:styleId="Heading6Char">
    <w:name w:val="Heading 6 Char"/>
    <w:link w:val="Heading6"/>
    <w:rPr>
      <w:rFonts w:ascii="Arial" w:hAnsi="Arial" w:cs="Arial"/>
      <w:sz w:val="18"/>
      <w:szCs w:val="18"/>
      <w:lang w:eastAsia="en-GB"/>
    </w:rPr>
  </w:style>
  <w:style w:type="character" w:customStyle="1" w:styleId="Heading7Char">
    <w:name w:val="Heading 7 Char"/>
    <w:link w:val="Heading7"/>
    <w:uiPriority w:val="9"/>
    <w:rPr>
      <w:rFonts w:ascii="Arial" w:eastAsia="Times New Roman" w:hAnsi="Arial" w:cs="Arial"/>
      <w:bCs/>
      <w:lang w:val="en-GB" w:eastAsia="fr-FR"/>
    </w:rPr>
  </w:style>
  <w:style w:type="character" w:customStyle="1" w:styleId="Heading8Char">
    <w:name w:val="Heading 8 Char"/>
    <w:link w:val="Heading8"/>
    <w:uiPriority w:val="9"/>
    <w:rPr>
      <w:rFonts w:ascii="Arial" w:eastAsia="Calibri Light" w:hAnsi="Arial" w:cs="Arial"/>
      <w:color w:val="272727"/>
    </w:rPr>
  </w:style>
  <w:style w:type="paragraph" w:styleId="TOC1">
    <w:name w:val="toc 1"/>
    <w:basedOn w:val="Normal"/>
    <w:next w:val="Normal"/>
    <w:uiPriority w:val="39"/>
    <w:unhideWhenUsed/>
    <w:pPr>
      <w:tabs>
        <w:tab w:val="left" w:pos="480"/>
        <w:tab w:val="right" w:leader="dot" w:pos="9010"/>
      </w:tabs>
      <w:spacing w:before="120" w:after="120"/>
    </w:pPr>
    <w:rPr>
      <w:rFonts w:ascii="Arial" w:hAnsi="Arial" w:cs="Arial"/>
      <w:b/>
      <w:bCs/>
      <w:caps/>
      <w:sz w:val="22"/>
      <w:szCs w:val="22"/>
    </w:rPr>
  </w:style>
  <w:style w:type="paragraph" w:styleId="TOC2">
    <w:name w:val="toc 2"/>
    <w:basedOn w:val="Normal"/>
    <w:next w:val="Normal"/>
    <w:uiPriority w:val="39"/>
    <w:unhideWhenUsed/>
    <w:pPr>
      <w:tabs>
        <w:tab w:val="left" w:pos="480"/>
        <w:tab w:val="left" w:pos="720"/>
        <w:tab w:val="right" w:leader="dot" w:pos="9010"/>
      </w:tabs>
    </w:pPr>
    <w:rPr>
      <w:rFonts w:ascii="Arial" w:hAnsi="Arial" w:cs="Arial"/>
      <w:sz w:val="22"/>
      <w:szCs w:val="22"/>
    </w:rPr>
  </w:style>
  <w:style w:type="paragraph" w:styleId="TOC3">
    <w:name w:val="toc 3"/>
    <w:basedOn w:val="Normal"/>
    <w:next w:val="Normal"/>
    <w:uiPriority w:val="39"/>
    <w:unhideWhenUsed/>
    <w:pPr>
      <w:ind w:left="480"/>
    </w:pPr>
    <w:rPr>
      <w:rFonts w:ascii="Calibri" w:hAnsi="Calibri" w:cs="Calibri"/>
      <w:i/>
      <w:iCs/>
      <w:sz w:val="20"/>
      <w:szCs w:val="20"/>
    </w:rPr>
  </w:style>
  <w:style w:type="paragraph" w:styleId="TOC4">
    <w:name w:val="toc 4"/>
    <w:basedOn w:val="Normal"/>
    <w:next w:val="Normal"/>
    <w:uiPriority w:val="39"/>
    <w:unhideWhenUsed/>
    <w:pPr>
      <w:ind w:left="720"/>
    </w:pPr>
    <w:rPr>
      <w:rFonts w:ascii="Calibri" w:hAnsi="Calibri" w:cs="Calibri"/>
      <w:sz w:val="18"/>
      <w:szCs w:val="18"/>
    </w:rPr>
  </w:style>
  <w:style w:type="paragraph" w:styleId="TOC5">
    <w:name w:val="toc 5"/>
    <w:basedOn w:val="Normal"/>
    <w:next w:val="Normal"/>
    <w:uiPriority w:val="39"/>
    <w:unhideWhenUsed/>
    <w:pPr>
      <w:ind w:left="960"/>
    </w:pPr>
    <w:rPr>
      <w:rFonts w:ascii="Calibri" w:hAnsi="Calibri" w:cs="Calibri"/>
      <w:sz w:val="18"/>
      <w:szCs w:val="18"/>
    </w:rPr>
  </w:style>
  <w:style w:type="paragraph" w:styleId="TOC6">
    <w:name w:val="toc 6"/>
    <w:basedOn w:val="Normal"/>
    <w:next w:val="Normal"/>
    <w:uiPriority w:val="39"/>
    <w:unhideWhenUsed/>
    <w:pPr>
      <w:ind w:left="1200"/>
    </w:pPr>
    <w:rPr>
      <w:rFonts w:ascii="Calibri" w:hAnsi="Calibri" w:cs="Calibri"/>
      <w:sz w:val="18"/>
      <w:szCs w:val="18"/>
    </w:rPr>
  </w:style>
  <w:style w:type="paragraph" w:styleId="TOC7">
    <w:name w:val="toc 7"/>
    <w:basedOn w:val="Normal"/>
    <w:next w:val="Normal"/>
    <w:uiPriority w:val="39"/>
    <w:unhideWhenUsed/>
    <w:pPr>
      <w:ind w:left="1440"/>
    </w:pPr>
    <w:rPr>
      <w:rFonts w:ascii="Calibri" w:hAnsi="Calibri" w:cs="Calibri"/>
      <w:sz w:val="18"/>
      <w:szCs w:val="18"/>
    </w:rPr>
  </w:style>
  <w:style w:type="paragraph" w:styleId="TOC8">
    <w:name w:val="toc 8"/>
    <w:basedOn w:val="Normal"/>
    <w:next w:val="Normal"/>
    <w:uiPriority w:val="39"/>
    <w:unhideWhenUsed/>
    <w:pPr>
      <w:ind w:left="1680"/>
    </w:pPr>
    <w:rPr>
      <w:rFonts w:ascii="Calibri" w:hAnsi="Calibri" w:cs="Calibri"/>
      <w:sz w:val="18"/>
      <w:szCs w:val="18"/>
    </w:rPr>
  </w:style>
  <w:style w:type="paragraph" w:styleId="TOC9">
    <w:name w:val="toc 9"/>
    <w:basedOn w:val="Normal"/>
    <w:next w:val="Normal"/>
    <w:uiPriority w:val="39"/>
    <w:unhideWhenUsed/>
    <w:pPr>
      <w:ind w:left="1920"/>
    </w:pPr>
    <w:rPr>
      <w:rFonts w:ascii="Calibri" w:hAnsi="Calibri" w:cs="Calibri"/>
      <w:sz w:val="18"/>
      <w:szCs w:val="18"/>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UnresolvedMention4">
    <w:name w:val="Unresolved Mention4"/>
    <w:uiPriority w:val="99"/>
    <w:semiHidden/>
    <w:unhideWhenUsed/>
    <w:rPr>
      <w:color w:val="605E5C"/>
      <w:shd w:val="clear" w:color="auto" w:fill="E1DFDD"/>
    </w:rPr>
  </w:style>
  <w:style w:type="character" w:customStyle="1" w:styleId="UnresolvedMention5">
    <w:name w:val="Unresolved Mention5"/>
    <w:uiPriority w:val="99"/>
    <w:semiHidden/>
    <w:unhideWhenUsed/>
    <w:rPr>
      <w:color w:val="605E5C"/>
      <w:shd w:val="clear" w:color="auto" w:fill="E1DFDD"/>
    </w:rPr>
  </w:style>
  <w:style w:type="paragraph" w:customStyle="1" w:styleId="Normalcontratangl">
    <w:name w:val="Normal contrat angl"/>
    <w:rsid w:val="00267AB6"/>
    <w:pPr>
      <w:spacing w:line="320" w:lineRule="atLeast"/>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4219</Words>
  <Characters>26581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3</cp:revision>
  <dcterms:created xsi:type="dcterms:W3CDTF">2020-11-20T12:53:00Z</dcterms:created>
  <dcterms:modified xsi:type="dcterms:W3CDTF">2020-11-20T12:55:00Z</dcterms:modified>
  <cp:category/>
</cp:coreProperties>
</file>